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2" w:rsidRDefault="00A366C2" w:rsidP="006D3F94">
      <w:pPr>
        <w:pStyle w:val="Heading2"/>
        <w:spacing w:before="0"/>
      </w:pPr>
      <w:bookmarkStart w:id="0" w:name="_GoBack"/>
      <w:bookmarkEnd w:id="0"/>
      <w:r w:rsidRPr="006D0871">
        <w:t>Te</w:t>
      </w:r>
      <w:r>
        <w:t>st for a statistical trend</w:t>
      </w:r>
    </w:p>
    <w:p w:rsidR="007B2282" w:rsidRDefault="007B2282" w:rsidP="007B2282">
      <w:r>
        <w:t xml:space="preserve">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test for trend</w:t>
      </w:r>
      <w:r w:rsidR="00A366C2">
        <w:t xml:space="preserve"> </w:t>
      </w:r>
      <w:r>
        <w:t>is applied to indicators that are</w:t>
      </w:r>
      <w:r w:rsidR="00A366C2">
        <w:t xml:space="preserve"> proportions </w:t>
      </w:r>
      <w:r>
        <w:t>or</w:t>
      </w:r>
      <w:r w:rsidR="00A366C2">
        <w:t xml:space="preserve"> rates (including crude rates and directly standardised rates)</w:t>
      </w:r>
      <w:r>
        <w:t xml:space="preserve"> to identify recent or current trends.  The </w:t>
      </w:r>
      <w:r w:rsidRPr="006D3F94">
        <w:t>calculations</w:t>
      </w:r>
      <w:r>
        <w:t xml:space="preserve"> use the most recent </w:t>
      </w:r>
      <m:oMath>
        <m:r>
          <w:rPr>
            <w:rFonts w:ascii="Cambria Math" w:hAnsi="Cambria Math"/>
          </w:rPr>
          <m:t>N</m:t>
        </m:r>
      </m:oMath>
      <w:r>
        <w:t xml:space="preserve"> indicator values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in the time series, their numerators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and their denominators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</w:t>
      </w:r>
      <w:r w:rsidRPr="007A5E2B">
        <w:t xml:space="preserve"> </w:t>
      </w:r>
      <w:r>
        <w:t>along with the time values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).  Where any of the most recent </w:t>
      </w:r>
      <m:oMath>
        <m:r>
          <w:rPr>
            <w:rFonts w:ascii="Cambria Math" w:hAnsi="Cambria Math"/>
          </w:rPr>
          <m:t>N</m:t>
        </m:r>
      </m:oMath>
      <w:r>
        <w:t xml:space="preserve"> indicator values are missing from the time series, the calculation is not carried out.</w:t>
      </w:r>
    </w:p>
    <w:p w:rsidR="00A366C2" w:rsidRDefault="007B2282" w:rsidP="006D3F94">
      <w:r>
        <w:t>The algorithm starts</w:t>
      </w:r>
      <w:r w:rsidR="00CE63F5">
        <w:t xml:space="preserve"> with </w:t>
      </w:r>
      <m:oMath>
        <m:r>
          <w:rPr>
            <w:rFonts w:ascii="Cambria Math" w:hAnsi="Cambria Math"/>
          </w:rPr>
          <m:t>N=5</m:t>
        </m:r>
      </m:oMath>
      <w:r w:rsidR="00CE63F5">
        <w:t xml:space="preserve">, ie </w:t>
      </w:r>
      <w:r>
        <w:t xml:space="preserve">a </w:t>
      </w:r>
      <w:r w:rsidR="00CE63F5">
        <w:t>test for trend</w:t>
      </w:r>
      <w:r>
        <w:t xml:space="preserve"> is carried out</w:t>
      </w:r>
      <w:r w:rsidR="00CE63F5">
        <w:t xml:space="preserve"> on the last five points in the time series.  If a significant trend is found</w:t>
      </w:r>
      <w:r>
        <w:t>, that is highlighted in the Fingertips tool</w:t>
      </w:r>
      <w:r w:rsidR="00CE63F5">
        <w:t>.  If no significan</w:t>
      </w:r>
      <w:r>
        <w:t xml:space="preserve">t trend is identified </w:t>
      </w:r>
      <w:r w:rsidR="00CE63F5">
        <w:t xml:space="preserve">the test </w:t>
      </w:r>
      <w:r>
        <w:t xml:space="preserve">is repeated, </w:t>
      </w:r>
      <w:r w:rsidR="00CE63F5">
        <w:t>adding the sixth most recent</w:t>
      </w:r>
      <w:r>
        <w:t xml:space="preserve"> point in the time series.  This process is</w:t>
      </w:r>
      <w:r w:rsidR="00CE63F5">
        <w:t xml:space="preserve"> repeat</w:t>
      </w:r>
      <w:r>
        <w:t>ed</w:t>
      </w:r>
      <w:r w:rsidR="00CE63F5">
        <w:t xml:space="preserve">, adding a further point back in the time series until either a significant trend is identified, or the full time series has been tested. If there is still no significant trend with the full series, </w:t>
      </w:r>
      <w:r>
        <w:t>it is labelled</w:t>
      </w:r>
      <w:r w:rsidR="00CE63F5">
        <w:t xml:space="preserve"> as not significant.</w:t>
      </w:r>
    </w:p>
    <w:p w:rsidR="00755FC2" w:rsidRPr="00C2774D" w:rsidRDefault="00A366C2" w:rsidP="008F17C4">
      <w:r>
        <w:t>For proportions and crude rates, the numerators and denominators are straightforward.</w:t>
      </w:r>
      <w:r w:rsidR="00755FC2">
        <w:t xml:space="preserve">  </w:t>
      </w:r>
      <w:r>
        <w:t xml:space="preserve">For </w:t>
      </w:r>
      <w:r w:rsidR="008F17C4">
        <w:t>directly standardised rates,</w:t>
      </w:r>
      <w:r>
        <w:t xml:space="preserve"> </w:t>
      </w:r>
      <w:r w:rsidR="008F17C4">
        <w:t xml:space="preserve">the populations are not used as the denominators: </w:t>
      </w:r>
      <w:r w:rsidR="00755FC2">
        <w:t xml:space="preserve">the </w:t>
      </w:r>
      <w:r w:rsidR="008F17C4">
        <w:t xml:space="preserve">effective </w:t>
      </w:r>
      <w:r w:rsidR="00755FC2">
        <w:t>denominators</w:t>
      </w:r>
      <w:r w:rsidR="008F17C4">
        <w:t xml:space="preserve"> for the DSRs</w:t>
      </w:r>
      <w:r w:rsidR="00755FC2">
        <w:t xml:space="preserve"> are</w:t>
      </w:r>
      <w:r w:rsidR="008F17C4">
        <w:t xml:space="preserve"> </w:t>
      </w:r>
      <w:r w:rsidR="00755FC2">
        <w:t>calculated as: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:rsidR="00A366C2" w:rsidRDefault="00755FC2" w:rsidP="006D3F94">
      <w:r>
        <w:t xml:space="preserve">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test statistic is calculated as:</w:t>
      </w:r>
      <w:r w:rsidR="00A366C2">
        <w:t xml:space="preserve"> </w:t>
      </w:r>
    </w:p>
    <w:p w:rsidR="00A366C2" w:rsidRDefault="000874A9" w:rsidP="006D3F94"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  <w:lang w:val="el-GR"/>
                </w:rPr>
                <m:t>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A366C2" w:rsidRDefault="00A366C2" w:rsidP="008F17C4">
      <w:pPr>
        <w:spacing w:before="240"/>
      </w:pPr>
      <w:r>
        <w:t xml:space="preserve">If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lang w:val="el-GR"/>
              </w:rPr>
              <m:t>χ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&gt; 9.5495</w:t>
      </w:r>
      <w:r w:rsidR="00755FC2">
        <w:t xml:space="preserve"> the time series is</w:t>
      </w:r>
      <w:r>
        <w:t xml:space="preserve"> </w:t>
      </w:r>
      <w:r w:rsidR="00755FC2">
        <w:t xml:space="preserve">labelled </w:t>
      </w:r>
      <w:r>
        <w:t>as significant (p &lt;</w:t>
      </w:r>
      <w:r w:rsidR="00755FC2">
        <w:t xml:space="preserve"> 0.2%).</w:t>
      </w:r>
    </w:p>
    <w:p w:rsidR="00755FC2" w:rsidRDefault="00755FC2" w:rsidP="008F17C4">
      <w:pPr>
        <w:spacing w:before="240"/>
      </w:pPr>
      <w:r>
        <w:t>The direction of the trend (either increasing or decreasing) is determined by calculating the gradient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t>) of the slope that best fits the time series.</w:t>
      </w:r>
    </w:p>
    <w:p w:rsidR="00A366C2" w:rsidRDefault="00A366C2" w:rsidP="00755FC2">
      <w:pPr>
        <w:pStyle w:val="Subtitle"/>
        <w:spacing w:after="0"/>
      </w:pPr>
      <w:r>
        <w:t>For proportions</w:t>
      </w:r>
    </w:p>
    <w:p w:rsidR="00A366C2" w:rsidRPr="009C3F73" w:rsidRDefault="000874A9" w:rsidP="006D3F94">
      <m:oMathPara>
        <m:oMathParaPr>
          <m:jc m:val="center"/>
        </m:oMathParaPr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β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fun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func>
                </m:e>
              </m:nary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366C2" w:rsidRPr="00FE5E54" w:rsidRDefault="00A366C2" w:rsidP="00755FC2">
      <w:pPr>
        <w:pStyle w:val="Subtitle"/>
        <w:spacing w:after="0"/>
      </w:pPr>
      <w:r>
        <w:t xml:space="preserve">For </w:t>
      </w:r>
      <w:r w:rsidR="00755FC2">
        <w:t>rates</w:t>
      </w:r>
    </w:p>
    <w:p w:rsidR="00A366C2" w:rsidRDefault="000874A9" w:rsidP="006D3F94">
      <m:oMathPara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β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nary>
                        <m:naryPr>
                          <m:chr m:val="∑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755FC2" w:rsidRDefault="00755FC2" w:rsidP="008F17C4">
      <w:pPr>
        <w:spacing w:before="240"/>
      </w:pPr>
      <w:r>
        <w:t xml:space="preserve">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t xml:space="preserve"> &lt; 0 then it is</w:t>
      </w:r>
      <w:r w:rsidR="008F17C4">
        <w:t xml:space="preserve"> labelled</w:t>
      </w:r>
      <w:r>
        <w:t xml:space="preserve"> </w:t>
      </w:r>
      <w:r w:rsidR="008F17C4">
        <w:t xml:space="preserve">as </w:t>
      </w:r>
      <w:r>
        <w:t xml:space="preserve">a falling trend; if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>
        <w:t xml:space="preserve"> &gt; 0 then it is a rising trend</w:t>
      </w:r>
      <w:r w:rsidR="008F17C4">
        <w:t>.</w:t>
      </w:r>
    </w:p>
    <w:sectPr w:rsidR="0075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C2"/>
    <w:rsid w:val="000874A9"/>
    <w:rsid w:val="00506B15"/>
    <w:rsid w:val="006C2FC3"/>
    <w:rsid w:val="006D3F94"/>
    <w:rsid w:val="00755FC2"/>
    <w:rsid w:val="007B2282"/>
    <w:rsid w:val="008F17C4"/>
    <w:rsid w:val="00A366C2"/>
    <w:rsid w:val="00CE63F5"/>
    <w:rsid w:val="00E2066D"/>
    <w:rsid w:val="00F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94"/>
    <w:pPr>
      <w:spacing w:after="120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366C2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A366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36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94"/>
    <w:pPr>
      <w:spacing w:after="120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366C2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A366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36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Jephson</dc:creator>
  <cp:lastModifiedBy>Anita Brock</cp:lastModifiedBy>
  <cp:revision>2</cp:revision>
  <dcterms:created xsi:type="dcterms:W3CDTF">2016-09-27T14:24:00Z</dcterms:created>
  <dcterms:modified xsi:type="dcterms:W3CDTF">2016-09-27T14:24:00Z</dcterms:modified>
</cp:coreProperties>
</file>