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E55D8" w14:textId="0C17082C" w:rsidR="008215CA" w:rsidRPr="00107210" w:rsidRDefault="00107210" w:rsidP="00250E27">
      <w:pPr>
        <w:rPr>
          <w:rStyle w:val="PHEFrontpagetitlesecondlevel"/>
          <w:b/>
          <w:sz w:val="56"/>
        </w:rPr>
      </w:pPr>
      <w:bookmarkStart w:id="0" w:name="_Hlk39057042"/>
      <w:bookmarkEnd w:id="0"/>
      <w:r w:rsidRPr="00107210">
        <w:rPr>
          <w:rStyle w:val="PHEFrontpagetitlesecondlevel"/>
          <w:b/>
          <w:sz w:val="56"/>
        </w:rPr>
        <w:t>Technical Summary</w:t>
      </w:r>
    </w:p>
    <w:p w14:paraId="6AA14225" w14:textId="77777777" w:rsidR="00107210" w:rsidRDefault="00107210" w:rsidP="00250E27">
      <w:pPr>
        <w:rPr>
          <w:rStyle w:val="PHEFrontpagemaintitle"/>
        </w:rPr>
      </w:pPr>
    </w:p>
    <w:p w14:paraId="48633EBF" w14:textId="5E1966FE" w:rsidR="00B56A8D" w:rsidRPr="00107210" w:rsidRDefault="00176D04" w:rsidP="00250E27">
      <w:pPr>
        <w:rPr>
          <w:rStyle w:val="PHEFrontpagemaintitle"/>
          <w:sz w:val="36"/>
        </w:rPr>
      </w:pPr>
      <w:r w:rsidRPr="00107210">
        <w:rPr>
          <w:rStyle w:val="PHEFrontpagemaintitle"/>
          <w:sz w:val="36"/>
        </w:rPr>
        <w:t>Public Health</w:t>
      </w:r>
      <w:r w:rsidR="00040C25" w:rsidRPr="00107210">
        <w:rPr>
          <w:rStyle w:val="PHEFrontpagemaintitle"/>
          <w:sz w:val="36"/>
        </w:rPr>
        <w:t xml:space="preserve"> England </w:t>
      </w:r>
      <w:r w:rsidR="00107210" w:rsidRPr="00107210">
        <w:rPr>
          <w:rStyle w:val="PHEFrontpagemaintitle"/>
          <w:sz w:val="36"/>
        </w:rPr>
        <w:t xml:space="preserve">Data Series </w:t>
      </w:r>
      <w:r w:rsidR="00F169BB">
        <w:rPr>
          <w:rStyle w:val="PHEFrontpagemaintitle"/>
          <w:sz w:val="36"/>
        </w:rPr>
        <w:t>on D</w:t>
      </w:r>
      <w:r w:rsidRPr="00107210">
        <w:rPr>
          <w:rStyle w:val="PHEFrontpagemaintitle"/>
          <w:sz w:val="36"/>
        </w:rPr>
        <w:t>eaths</w:t>
      </w:r>
      <w:r w:rsidR="00F169BB">
        <w:rPr>
          <w:rStyle w:val="PHEFrontpagemaintitle"/>
          <w:sz w:val="36"/>
        </w:rPr>
        <w:t xml:space="preserve"> in People with COVID-19</w:t>
      </w:r>
    </w:p>
    <w:p w14:paraId="7CAEB2AC" w14:textId="77777777" w:rsidR="00B56A8D" w:rsidRDefault="00B56A8D" w:rsidP="00250E27">
      <w:pPr>
        <w:rPr>
          <w:rStyle w:val="PHEFrontpagemaintitle"/>
        </w:rPr>
      </w:pPr>
    </w:p>
    <w:p w14:paraId="64A83388" w14:textId="77777777" w:rsidR="00B56A8D" w:rsidRDefault="00B56A8D" w:rsidP="00250E27">
      <w:pPr>
        <w:rPr>
          <w:rStyle w:val="PHEFrontpagemaintitle"/>
        </w:rPr>
      </w:pPr>
    </w:p>
    <w:p w14:paraId="27991CF3" w14:textId="77777777" w:rsidR="00B56A8D" w:rsidRDefault="00B56A8D" w:rsidP="00250E27">
      <w:pPr>
        <w:rPr>
          <w:rStyle w:val="PHEFrontpagemaintitle"/>
        </w:rPr>
      </w:pPr>
    </w:p>
    <w:p w14:paraId="4CFB4E39" w14:textId="77777777" w:rsidR="00B56A8D" w:rsidRDefault="00B56A8D" w:rsidP="00250E27">
      <w:pPr>
        <w:rPr>
          <w:rStyle w:val="PHEFrontpagemaintitle"/>
        </w:rPr>
      </w:pPr>
    </w:p>
    <w:p w14:paraId="4A1E449C" w14:textId="77777777" w:rsidR="00B56A8D" w:rsidRDefault="00B56A8D" w:rsidP="00250E27">
      <w:pPr>
        <w:rPr>
          <w:rStyle w:val="PHEFrontpagemaintitle"/>
        </w:rPr>
      </w:pPr>
    </w:p>
    <w:p w14:paraId="1E1386CF" w14:textId="77777777" w:rsidR="00B56A8D" w:rsidRDefault="00B56A8D" w:rsidP="00250E27">
      <w:pPr>
        <w:rPr>
          <w:rStyle w:val="PHEFrontpagemaintitle"/>
        </w:rPr>
      </w:pPr>
    </w:p>
    <w:p w14:paraId="784D3002" w14:textId="77777777" w:rsidR="00B56A8D" w:rsidRDefault="00B56A8D" w:rsidP="00250E27">
      <w:pPr>
        <w:rPr>
          <w:rStyle w:val="PHEFrontpagemaintitle"/>
        </w:rPr>
      </w:pPr>
    </w:p>
    <w:p w14:paraId="28B6CF74" w14:textId="77777777" w:rsidR="00B56A8D" w:rsidRDefault="00B56A8D" w:rsidP="00250E27">
      <w:pPr>
        <w:rPr>
          <w:rStyle w:val="PHEFrontpagemaintitle"/>
        </w:rPr>
      </w:pPr>
    </w:p>
    <w:p w14:paraId="4C9CBAC9" w14:textId="77777777" w:rsidR="00B56A8D" w:rsidRDefault="00B56A8D" w:rsidP="00250E27">
      <w:pPr>
        <w:rPr>
          <w:rStyle w:val="PHEFrontpagemaintitle"/>
        </w:rPr>
      </w:pPr>
    </w:p>
    <w:p w14:paraId="7BBAD9F2" w14:textId="77777777" w:rsidR="00B56A8D" w:rsidRDefault="00B56A8D" w:rsidP="00250E27">
      <w:pPr>
        <w:rPr>
          <w:rStyle w:val="PHEFrontpagemaintitle"/>
        </w:rPr>
      </w:pPr>
    </w:p>
    <w:p w14:paraId="4A770B8A" w14:textId="77777777" w:rsidR="00B56A8D" w:rsidRDefault="00B56A8D" w:rsidP="00250E27">
      <w:pPr>
        <w:rPr>
          <w:rStyle w:val="PHEFrontpagemaintitle"/>
        </w:rPr>
      </w:pPr>
    </w:p>
    <w:p w14:paraId="183929BB" w14:textId="77777777" w:rsidR="00B56A8D" w:rsidRDefault="00B56A8D" w:rsidP="00250E27">
      <w:pPr>
        <w:rPr>
          <w:rStyle w:val="PHEFrontpagemaintitle"/>
        </w:rPr>
      </w:pPr>
    </w:p>
    <w:p w14:paraId="54BBD5C9" w14:textId="77777777" w:rsidR="00B56A8D" w:rsidRDefault="00B56A8D" w:rsidP="00250E27">
      <w:pPr>
        <w:rPr>
          <w:rStyle w:val="PHEFrontpagemaintitle"/>
        </w:rPr>
      </w:pPr>
    </w:p>
    <w:p w14:paraId="7860C995" w14:textId="77777777" w:rsidR="00B56A8D" w:rsidRDefault="00B56A8D" w:rsidP="00250E27">
      <w:pPr>
        <w:rPr>
          <w:rStyle w:val="PHEFrontpagemaintitle"/>
        </w:rPr>
      </w:pPr>
    </w:p>
    <w:p w14:paraId="25793BAA" w14:textId="77777777" w:rsidR="00B56A8D" w:rsidRDefault="00B56A8D" w:rsidP="00250E27">
      <w:pPr>
        <w:rPr>
          <w:rStyle w:val="PHEFrontpagemaintitle"/>
        </w:rPr>
      </w:pPr>
    </w:p>
    <w:p w14:paraId="67E705FD" w14:textId="77777777" w:rsidR="00B56A8D" w:rsidRDefault="00B56A8D" w:rsidP="00250E27">
      <w:pPr>
        <w:rPr>
          <w:rStyle w:val="PHEFrontpagemaintitle"/>
        </w:rPr>
      </w:pPr>
    </w:p>
    <w:p w14:paraId="648EF0B0" w14:textId="77777777" w:rsidR="00B56A8D" w:rsidRDefault="00B56A8D" w:rsidP="00250E27">
      <w:pPr>
        <w:rPr>
          <w:rStyle w:val="PHEFrontpagemaintitle"/>
        </w:rPr>
      </w:pPr>
    </w:p>
    <w:p w14:paraId="56B5242E" w14:textId="77777777" w:rsidR="00B56A8D" w:rsidRDefault="00B56A8D" w:rsidP="00250E27">
      <w:pPr>
        <w:rPr>
          <w:rStyle w:val="PHEFrontpagemaintitle"/>
        </w:rPr>
      </w:pPr>
    </w:p>
    <w:p w14:paraId="371C91A5" w14:textId="77777777" w:rsidR="00B56A8D" w:rsidRDefault="00B56A8D" w:rsidP="00250E27">
      <w:pPr>
        <w:rPr>
          <w:rStyle w:val="PHEFrontpagemaintitle"/>
        </w:rPr>
      </w:pPr>
    </w:p>
    <w:p w14:paraId="16719217" w14:textId="77777777" w:rsidR="00B56A8D" w:rsidRDefault="00B56A8D" w:rsidP="00250E27">
      <w:pPr>
        <w:rPr>
          <w:rStyle w:val="PHEFrontpagemaintitle"/>
        </w:rPr>
      </w:pPr>
    </w:p>
    <w:p w14:paraId="172C05F3" w14:textId="5E3E1DF7" w:rsidR="000D6412" w:rsidRDefault="00B56A8D" w:rsidP="00B56A8D">
      <w:pPr>
        <w:rPr>
          <w:rStyle w:val="PHEFrontpagemaintitle"/>
          <w:color w:val="auto"/>
          <w:sz w:val="20"/>
        </w:rPr>
      </w:pPr>
      <w:r w:rsidRPr="00B56A8D">
        <w:rPr>
          <w:rStyle w:val="PHEFrontpagemaintitle"/>
          <w:color w:val="auto"/>
          <w:sz w:val="20"/>
        </w:rPr>
        <w:t xml:space="preserve">Prepared </w:t>
      </w:r>
      <w:r w:rsidR="00A607C1">
        <w:rPr>
          <w:rStyle w:val="PHEFrontpagemaintitle"/>
          <w:color w:val="auto"/>
          <w:sz w:val="20"/>
        </w:rPr>
        <w:t>29</w:t>
      </w:r>
      <w:r w:rsidRPr="00B56A8D">
        <w:rPr>
          <w:rStyle w:val="PHEFrontpagemaintitle"/>
          <w:color w:val="auto"/>
          <w:sz w:val="20"/>
        </w:rPr>
        <w:t xml:space="preserve"> April 2020</w:t>
      </w:r>
      <w:r w:rsidR="00176D04" w:rsidRPr="00B56A8D">
        <w:rPr>
          <w:rStyle w:val="PHEFrontpagemaintitle"/>
          <w:color w:val="auto"/>
          <w:sz w:val="20"/>
        </w:rPr>
        <w:t xml:space="preserve"> </w:t>
      </w:r>
      <w:r>
        <w:rPr>
          <w:rStyle w:val="PHEFrontpagemaintitle"/>
          <w:color w:val="auto"/>
          <w:sz w:val="20"/>
        </w:rPr>
        <w:t>by COVID</w:t>
      </w:r>
      <w:r w:rsidR="00107210">
        <w:rPr>
          <w:rStyle w:val="PHEFrontpagemaintitle"/>
          <w:color w:val="auto"/>
          <w:sz w:val="20"/>
        </w:rPr>
        <w:t>-19</w:t>
      </w:r>
      <w:r>
        <w:rPr>
          <w:rStyle w:val="PHEFrontpagemaintitle"/>
          <w:color w:val="auto"/>
          <w:sz w:val="20"/>
        </w:rPr>
        <w:t xml:space="preserve"> EpiCell</w:t>
      </w:r>
    </w:p>
    <w:p w14:paraId="5195EC6A" w14:textId="77777777" w:rsidR="00DD75EF" w:rsidRPr="00B56A8D" w:rsidRDefault="00DD75EF" w:rsidP="00B56A8D">
      <w:pPr>
        <w:rPr>
          <w:rStyle w:val="PHEFrontpagetitlesecondlevel"/>
          <w:rFonts w:cs="Times New Roman"/>
          <w:bCs w:val="0"/>
          <w:iCs/>
          <w:color w:val="auto"/>
          <w:sz w:val="20"/>
          <w:szCs w:val="28"/>
        </w:rPr>
      </w:pPr>
    </w:p>
    <w:p w14:paraId="22A37493" w14:textId="1343F24A" w:rsidR="00DD75EF" w:rsidRDefault="00DD75EF" w:rsidP="00250E27">
      <w:pPr>
        <w:rPr>
          <w:sz w:val="20"/>
        </w:rPr>
      </w:pPr>
      <w:r>
        <w:rPr>
          <w:sz w:val="20"/>
        </w:rPr>
        <w:t xml:space="preserve">Note: this document will not be updated on a regular basis. For most up to date information on the England and UK death data, see the gov.uk Coronavirus Dashboard: </w:t>
      </w:r>
      <w:hyperlink r:id="rId11" w:history="1">
        <w:r w:rsidRPr="00BC18FD">
          <w:rPr>
            <w:rStyle w:val="Hyperlink"/>
            <w:sz w:val="20"/>
          </w:rPr>
          <w:t>https://coronavirus.data.gov.uk/about</w:t>
        </w:r>
      </w:hyperlink>
      <w:r>
        <w:rPr>
          <w:sz w:val="20"/>
        </w:rPr>
        <w:t xml:space="preserve"> </w:t>
      </w:r>
    </w:p>
    <w:p w14:paraId="172C05F5" w14:textId="70FFDBE3" w:rsidR="00E3274E" w:rsidRPr="00E3274E" w:rsidRDefault="00DD75EF" w:rsidP="00250E27">
      <w:pPr>
        <w:rPr>
          <w:sz w:val="20"/>
        </w:rPr>
        <w:sectPr w:rsidR="00E3274E" w:rsidRPr="00E3274E" w:rsidSect="008F3568"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065" w:right="1134" w:bottom="1134" w:left="1134" w:header="720" w:footer="720" w:gutter="0"/>
          <w:cols w:space="720"/>
          <w:titlePg/>
        </w:sectPr>
      </w:pPr>
      <w:r>
        <w:rPr>
          <w:sz w:val="20"/>
        </w:rPr>
        <w:t xml:space="preserve"> </w:t>
      </w:r>
    </w:p>
    <w:sdt>
      <w:sdtPr>
        <w:rPr>
          <w:rFonts w:cs="Arial"/>
          <w:bCs/>
          <w:color w:val="auto"/>
          <w:sz w:val="24"/>
        </w:rPr>
        <w:id w:val="305988557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14:paraId="6CA92A92" w14:textId="77777777" w:rsidR="00C215E9" w:rsidRDefault="00C215E9" w:rsidP="00107210">
          <w:pPr>
            <w:pStyle w:val="PHESecondaryHeadingTwo"/>
          </w:pPr>
          <w:r>
            <w:t>Table of Contents</w:t>
          </w:r>
        </w:p>
        <w:p w14:paraId="128317B6" w14:textId="4CB0E2F9" w:rsidR="006F4737" w:rsidRDefault="00C215E9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900581" w:history="1">
            <w:r w:rsidR="006F4737" w:rsidRPr="006947FD">
              <w:rPr>
                <w:rStyle w:val="Hyperlink"/>
                <w:iCs/>
              </w:rPr>
              <w:t>1.</w:t>
            </w:r>
            <w:r w:rsidR="006F4737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6F4737" w:rsidRPr="006947FD">
              <w:rPr>
                <w:rStyle w:val="Hyperlink"/>
                <w:iCs/>
              </w:rPr>
              <w:t>Summary</w:t>
            </w:r>
            <w:r w:rsidR="006F4737">
              <w:rPr>
                <w:webHidden/>
              </w:rPr>
              <w:tab/>
            </w:r>
            <w:r w:rsidR="006F4737">
              <w:rPr>
                <w:webHidden/>
              </w:rPr>
              <w:fldChar w:fldCharType="begin"/>
            </w:r>
            <w:r w:rsidR="006F4737">
              <w:rPr>
                <w:webHidden/>
              </w:rPr>
              <w:instrText xml:space="preserve"> PAGEREF _Toc38900581 \h </w:instrText>
            </w:r>
            <w:r w:rsidR="006F4737">
              <w:rPr>
                <w:webHidden/>
              </w:rPr>
            </w:r>
            <w:r w:rsidR="006F4737">
              <w:rPr>
                <w:webHidden/>
              </w:rPr>
              <w:fldChar w:fldCharType="separate"/>
            </w:r>
            <w:r w:rsidR="006F4737">
              <w:rPr>
                <w:webHidden/>
              </w:rPr>
              <w:t>3</w:t>
            </w:r>
            <w:r w:rsidR="006F4737">
              <w:rPr>
                <w:webHidden/>
              </w:rPr>
              <w:fldChar w:fldCharType="end"/>
            </w:r>
          </w:hyperlink>
        </w:p>
        <w:p w14:paraId="4A3159B0" w14:textId="7280D918" w:rsidR="006F4737" w:rsidRDefault="00D4123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38900582" w:history="1">
            <w:r w:rsidR="006F4737" w:rsidRPr="006947FD">
              <w:rPr>
                <w:rStyle w:val="Hyperlink"/>
                <w:iCs/>
              </w:rPr>
              <w:t>2.</w:t>
            </w:r>
            <w:r w:rsidR="006F4737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6F4737" w:rsidRPr="006947FD">
              <w:rPr>
                <w:rStyle w:val="Hyperlink"/>
                <w:iCs/>
              </w:rPr>
              <w:t>Background</w:t>
            </w:r>
            <w:r w:rsidR="006F4737">
              <w:rPr>
                <w:webHidden/>
              </w:rPr>
              <w:tab/>
            </w:r>
            <w:r w:rsidR="006F4737">
              <w:rPr>
                <w:webHidden/>
              </w:rPr>
              <w:fldChar w:fldCharType="begin"/>
            </w:r>
            <w:r w:rsidR="006F4737">
              <w:rPr>
                <w:webHidden/>
              </w:rPr>
              <w:instrText xml:space="preserve"> PAGEREF _Toc38900582 \h </w:instrText>
            </w:r>
            <w:r w:rsidR="006F4737">
              <w:rPr>
                <w:webHidden/>
              </w:rPr>
            </w:r>
            <w:r w:rsidR="006F4737">
              <w:rPr>
                <w:webHidden/>
              </w:rPr>
              <w:fldChar w:fldCharType="separate"/>
            </w:r>
            <w:r w:rsidR="006F4737">
              <w:rPr>
                <w:webHidden/>
              </w:rPr>
              <w:t>4</w:t>
            </w:r>
            <w:r w:rsidR="006F4737">
              <w:rPr>
                <w:webHidden/>
              </w:rPr>
              <w:fldChar w:fldCharType="end"/>
            </w:r>
          </w:hyperlink>
        </w:p>
        <w:p w14:paraId="624A9418" w14:textId="5DBB2733" w:rsidR="006F4737" w:rsidRDefault="00D4123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38900583" w:history="1">
            <w:r w:rsidR="006F4737" w:rsidRPr="006947FD">
              <w:rPr>
                <w:rStyle w:val="Hyperlink"/>
                <w:iCs/>
              </w:rPr>
              <w:t>3.</w:t>
            </w:r>
            <w:r w:rsidR="006F4737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6F4737" w:rsidRPr="006947FD">
              <w:rPr>
                <w:rStyle w:val="Hyperlink"/>
                <w:iCs/>
              </w:rPr>
              <w:t>Aims</w:t>
            </w:r>
            <w:r w:rsidR="006F4737">
              <w:rPr>
                <w:webHidden/>
              </w:rPr>
              <w:tab/>
            </w:r>
            <w:r w:rsidR="006F4737">
              <w:rPr>
                <w:webHidden/>
              </w:rPr>
              <w:fldChar w:fldCharType="begin"/>
            </w:r>
            <w:r w:rsidR="006F4737">
              <w:rPr>
                <w:webHidden/>
              </w:rPr>
              <w:instrText xml:space="preserve"> PAGEREF _Toc38900583 \h </w:instrText>
            </w:r>
            <w:r w:rsidR="006F4737">
              <w:rPr>
                <w:webHidden/>
              </w:rPr>
            </w:r>
            <w:r w:rsidR="006F4737">
              <w:rPr>
                <w:webHidden/>
              </w:rPr>
              <w:fldChar w:fldCharType="separate"/>
            </w:r>
            <w:r w:rsidR="006F4737">
              <w:rPr>
                <w:webHidden/>
              </w:rPr>
              <w:t>4</w:t>
            </w:r>
            <w:r w:rsidR="006F4737">
              <w:rPr>
                <w:webHidden/>
              </w:rPr>
              <w:fldChar w:fldCharType="end"/>
            </w:r>
          </w:hyperlink>
        </w:p>
        <w:p w14:paraId="622050C8" w14:textId="4B7CB143" w:rsidR="006F4737" w:rsidRDefault="00D4123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38900584" w:history="1">
            <w:r w:rsidR="006F4737" w:rsidRPr="006947FD">
              <w:rPr>
                <w:rStyle w:val="Hyperlink"/>
                <w:iCs/>
              </w:rPr>
              <w:t>4.</w:t>
            </w:r>
            <w:r w:rsidR="006F4737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6F4737" w:rsidRPr="006947FD">
              <w:rPr>
                <w:rStyle w:val="Hyperlink"/>
                <w:iCs/>
              </w:rPr>
              <w:t>Outline of PHE data series</w:t>
            </w:r>
            <w:r w:rsidR="006F4737">
              <w:rPr>
                <w:webHidden/>
              </w:rPr>
              <w:tab/>
            </w:r>
            <w:r w:rsidR="006F4737">
              <w:rPr>
                <w:webHidden/>
              </w:rPr>
              <w:fldChar w:fldCharType="begin"/>
            </w:r>
            <w:r w:rsidR="006F4737">
              <w:rPr>
                <w:webHidden/>
              </w:rPr>
              <w:instrText xml:space="preserve"> PAGEREF _Toc38900584 \h </w:instrText>
            </w:r>
            <w:r w:rsidR="006F4737">
              <w:rPr>
                <w:webHidden/>
              </w:rPr>
            </w:r>
            <w:r w:rsidR="006F4737">
              <w:rPr>
                <w:webHidden/>
              </w:rPr>
              <w:fldChar w:fldCharType="separate"/>
            </w:r>
            <w:r w:rsidR="006F4737">
              <w:rPr>
                <w:webHidden/>
              </w:rPr>
              <w:t>4</w:t>
            </w:r>
            <w:r w:rsidR="006F4737">
              <w:rPr>
                <w:webHidden/>
              </w:rPr>
              <w:fldChar w:fldCharType="end"/>
            </w:r>
          </w:hyperlink>
        </w:p>
        <w:p w14:paraId="0CC7F05C" w14:textId="257FC6A5" w:rsidR="006F4737" w:rsidRDefault="00D4123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38900585" w:history="1">
            <w:r w:rsidR="006F4737" w:rsidRPr="006947FD">
              <w:rPr>
                <w:rStyle w:val="Hyperlink"/>
                <w:noProof/>
              </w:rPr>
              <w:t>4.1 Definition of COVID-19 related deaths</w:t>
            </w:r>
            <w:r w:rsidR="006F4737">
              <w:rPr>
                <w:noProof/>
                <w:webHidden/>
              </w:rPr>
              <w:tab/>
            </w:r>
            <w:r w:rsidR="006F4737">
              <w:rPr>
                <w:noProof/>
                <w:webHidden/>
              </w:rPr>
              <w:fldChar w:fldCharType="begin"/>
            </w:r>
            <w:r w:rsidR="006F4737">
              <w:rPr>
                <w:noProof/>
                <w:webHidden/>
              </w:rPr>
              <w:instrText xml:space="preserve"> PAGEREF _Toc38900585 \h </w:instrText>
            </w:r>
            <w:r w:rsidR="006F4737">
              <w:rPr>
                <w:noProof/>
                <w:webHidden/>
              </w:rPr>
            </w:r>
            <w:r w:rsidR="006F4737">
              <w:rPr>
                <w:noProof/>
                <w:webHidden/>
              </w:rPr>
              <w:fldChar w:fldCharType="separate"/>
            </w:r>
            <w:r w:rsidR="006F4737">
              <w:rPr>
                <w:noProof/>
                <w:webHidden/>
              </w:rPr>
              <w:t>4</w:t>
            </w:r>
            <w:r w:rsidR="006F4737">
              <w:rPr>
                <w:noProof/>
                <w:webHidden/>
              </w:rPr>
              <w:fldChar w:fldCharType="end"/>
            </w:r>
          </w:hyperlink>
        </w:p>
        <w:p w14:paraId="6D5CBBE1" w14:textId="0EE4CEAE" w:rsidR="006F4737" w:rsidRDefault="00D4123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38900586" w:history="1">
            <w:r w:rsidR="006F4737" w:rsidRPr="006947FD">
              <w:rPr>
                <w:rStyle w:val="Hyperlink"/>
                <w:noProof/>
              </w:rPr>
              <w:t>4.2 Data sources and processing</w:t>
            </w:r>
            <w:r w:rsidR="006F4737">
              <w:rPr>
                <w:noProof/>
                <w:webHidden/>
              </w:rPr>
              <w:tab/>
            </w:r>
            <w:r w:rsidR="006F4737">
              <w:rPr>
                <w:noProof/>
                <w:webHidden/>
              </w:rPr>
              <w:fldChar w:fldCharType="begin"/>
            </w:r>
            <w:r w:rsidR="006F4737">
              <w:rPr>
                <w:noProof/>
                <w:webHidden/>
              </w:rPr>
              <w:instrText xml:space="preserve"> PAGEREF _Toc38900586 \h </w:instrText>
            </w:r>
            <w:r w:rsidR="006F4737">
              <w:rPr>
                <w:noProof/>
                <w:webHidden/>
              </w:rPr>
            </w:r>
            <w:r w:rsidR="006F4737">
              <w:rPr>
                <w:noProof/>
                <w:webHidden/>
              </w:rPr>
              <w:fldChar w:fldCharType="separate"/>
            </w:r>
            <w:r w:rsidR="006F4737">
              <w:rPr>
                <w:noProof/>
                <w:webHidden/>
              </w:rPr>
              <w:t>4</w:t>
            </w:r>
            <w:r w:rsidR="006F4737">
              <w:rPr>
                <w:noProof/>
                <w:webHidden/>
              </w:rPr>
              <w:fldChar w:fldCharType="end"/>
            </w:r>
          </w:hyperlink>
        </w:p>
        <w:p w14:paraId="19A0AB5D" w14:textId="7DC6AA41" w:rsidR="006F4737" w:rsidRDefault="00D4123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38900587" w:history="1">
            <w:r w:rsidR="006F4737" w:rsidRPr="006947FD">
              <w:rPr>
                <w:rStyle w:val="Hyperlink"/>
                <w:noProof/>
              </w:rPr>
              <w:t>4.3 Quality assurance</w:t>
            </w:r>
            <w:r w:rsidR="006F4737">
              <w:rPr>
                <w:noProof/>
                <w:webHidden/>
              </w:rPr>
              <w:tab/>
            </w:r>
            <w:r w:rsidR="006F4737">
              <w:rPr>
                <w:noProof/>
                <w:webHidden/>
              </w:rPr>
              <w:fldChar w:fldCharType="begin"/>
            </w:r>
            <w:r w:rsidR="006F4737">
              <w:rPr>
                <w:noProof/>
                <w:webHidden/>
              </w:rPr>
              <w:instrText xml:space="preserve"> PAGEREF _Toc38900587 \h </w:instrText>
            </w:r>
            <w:r w:rsidR="006F4737">
              <w:rPr>
                <w:noProof/>
                <w:webHidden/>
              </w:rPr>
            </w:r>
            <w:r w:rsidR="006F4737">
              <w:rPr>
                <w:noProof/>
                <w:webHidden/>
              </w:rPr>
              <w:fldChar w:fldCharType="separate"/>
            </w:r>
            <w:r w:rsidR="006F4737">
              <w:rPr>
                <w:noProof/>
                <w:webHidden/>
              </w:rPr>
              <w:t>5</w:t>
            </w:r>
            <w:r w:rsidR="006F4737">
              <w:rPr>
                <w:noProof/>
                <w:webHidden/>
              </w:rPr>
              <w:fldChar w:fldCharType="end"/>
            </w:r>
          </w:hyperlink>
        </w:p>
        <w:p w14:paraId="43DAD5BE" w14:textId="3469F71A" w:rsidR="006F4737" w:rsidRDefault="00D4123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38900588" w:history="1">
            <w:r w:rsidR="006F4737" w:rsidRPr="006947FD">
              <w:rPr>
                <w:rStyle w:val="Hyperlink"/>
                <w:iCs/>
              </w:rPr>
              <w:t>5.</w:t>
            </w:r>
            <w:r w:rsidR="006F4737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6F4737" w:rsidRPr="006947FD">
              <w:rPr>
                <w:rStyle w:val="Hyperlink"/>
                <w:iCs/>
              </w:rPr>
              <w:t>How does the PHE data series compare?</w:t>
            </w:r>
            <w:r w:rsidR="006F4737">
              <w:rPr>
                <w:webHidden/>
              </w:rPr>
              <w:tab/>
            </w:r>
            <w:r w:rsidR="006F4737">
              <w:rPr>
                <w:webHidden/>
              </w:rPr>
              <w:fldChar w:fldCharType="begin"/>
            </w:r>
            <w:r w:rsidR="006F4737">
              <w:rPr>
                <w:webHidden/>
              </w:rPr>
              <w:instrText xml:space="preserve"> PAGEREF _Toc38900588 \h </w:instrText>
            </w:r>
            <w:r w:rsidR="006F4737">
              <w:rPr>
                <w:webHidden/>
              </w:rPr>
            </w:r>
            <w:r w:rsidR="006F4737">
              <w:rPr>
                <w:webHidden/>
              </w:rPr>
              <w:fldChar w:fldCharType="separate"/>
            </w:r>
            <w:r w:rsidR="006F4737">
              <w:rPr>
                <w:webHidden/>
              </w:rPr>
              <w:t>5</w:t>
            </w:r>
            <w:r w:rsidR="006F4737">
              <w:rPr>
                <w:webHidden/>
              </w:rPr>
              <w:fldChar w:fldCharType="end"/>
            </w:r>
          </w:hyperlink>
        </w:p>
        <w:p w14:paraId="3D46B463" w14:textId="26E692F7" w:rsidR="006F4737" w:rsidRDefault="00D4123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38900589" w:history="1">
            <w:r w:rsidR="00D96205">
              <w:rPr>
                <w:rStyle w:val="Hyperlink"/>
                <w:noProof/>
              </w:rPr>
              <w:t xml:space="preserve">6.1 </w:t>
            </w:r>
            <w:r w:rsidR="006F4737" w:rsidRPr="006947FD">
              <w:rPr>
                <w:rStyle w:val="Hyperlink"/>
                <w:noProof/>
              </w:rPr>
              <w:t>Advantages of the new PHE data series</w:t>
            </w:r>
            <w:r w:rsidR="006F4737">
              <w:rPr>
                <w:noProof/>
                <w:webHidden/>
              </w:rPr>
              <w:tab/>
            </w:r>
            <w:r w:rsidR="006F4737">
              <w:rPr>
                <w:noProof/>
                <w:webHidden/>
              </w:rPr>
              <w:fldChar w:fldCharType="begin"/>
            </w:r>
            <w:r w:rsidR="006F4737">
              <w:rPr>
                <w:noProof/>
                <w:webHidden/>
              </w:rPr>
              <w:instrText xml:space="preserve"> PAGEREF _Toc38900589 \h </w:instrText>
            </w:r>
            <w:r w:rsidR="006F4737">
              <w:rPr>
                <w:noProof/>
                <w:webHidden/>
              </w:rPr>
            </w:r>
            <w:r w:rsidR="006F4737">
              <w:rPr>
                <w:noProof/>
                <w:webHidden/>
              </w:rPr>
              <w:fldChar w:fldCharType="separate"/>
            </w:r>
            <w:r w:rsidR="006F4737">
              <w:rPr>
                <w:noProof/>
                <w:webHidden/>
              </w:rPr>
              <w:t>5</w:t>
            </w:r>
            <w:r w:rsidR="006F4737">
              <w:rPr>
                <w:noProof/>
                <w:webHidden/>
              </w:rPr>
              <w:fldChar w:fldCharType="end"/>
            </w:r>
          </w:hyperlink>
        </w:p>
        <w:p w14:paraId="5C83160D" w14:textId="7AD6D0D2" w:rsidR="006F4737" w:rsidRDefault="00D4123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38900590" w:history="1">
            <w:r w:rsidR="006F4737" w:rsidRPr="006947FD">
              <w:rPr>
                <w:rStyle w:val="Hyperlink"/>
                <w:noProof/>
              </w:rPr>
              <w:t>6.2 Difference in the number of deaths compared to NHS England hospital deaths</w:t>
            </w:r>
            <w:r w:rsidR="006F4737">
              <w:rPr>
                <w:noProof/>
                <w:webHidden/>
              </w:rPr>
              <w:tab/>
            </w:r>
            <w:r w:rsidR="006F4737">
              <w:rPr>
                <w:noProof/>
                <w:webHidden/>
              </w:rPr>
              <w:fldChar w:fldCharType="begin"/>
            </w:r>
            <w:r w:rsidR="006F4737">
              <w:rPr>
                <w:noProof/>
                <w:webHidden/>
              </w:rPr>
              <w:instrText xml:space="preserve"> PAGEREF _Toc38900590 \h </w:instrText>
            </w:r>
            <w:r w:rsidR="006F4737">
              <w:rPr>
                <w:noProof/>
                <w:webHidden/>
              </w:rPr>
            </w:r>
            <w:r w:rsidR="006F4737">
              <w:rPr>
                <w:noProof/>
                <w:webHidden/>
              </w:rPr>
              <w:fldChar w:fldCharType="separate"/>
            </w:r>
            <w:r w:rsidR="006F4737">
              <w:rPr>
                <w:noProof/>
                <w:webHidden/>
              </w:rPr>
              <w:t>5</w:t>
            </w:r>
            <w:r w:rsidR="006F4737">
              <w:rPr>
                <w:noProof/>
                <w:webHidden/>
              </w:rPr>
              <w:fldChar w:fldCharType="end"/>
            </w:r>
          </w:hyperlink>
        </w:p>
        <w:p w14:paraId="2BF1D3A1" w14:textId="2FC83FC5" w:rsidR="006F4737" w:rsidRDefault="00D4123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38900591" w:history="1">
            <w:r w:rsidR="006F4737" w:rsidRPr="006947FD">
              <w:rPr>
                <w:rStyle w:val="Hyperlink"/>
                <w:noProof/>
              </w:rPr>
              <w:t>6.2 Where are the additional deaths coming from?</w:t>
            </w:r>
            <w:r w:rsidR="006F4737">
              <w:rPr>
                <w:noProof/>
                <w:webHidden/>
              </w:rPr>
              <w:tab/>
            </w:r>
            <w:r w:rsidR="006F4737">
              <w:rPr>
                <w:noProof/>
                <w:webHidden/>
              </w:rPr>
              <w:fldChar w:fldCharType="begin"/>
            </w:r>
            <w:r w:rsidR="006F4737">
              <w:rPr>
                <w:noProof/>
                <w:webHidden/>
              </w:rPr>
              <w:instrText xml:space="preserve"> PAGEREF _Toc38900591 \h </w:instrText>
            </w:r>
            <w:r w:rsidR="006F4737">
              <w:rPr>
                <w:noProof/>
                <w:webHidden/>
              </w:rPr>
            </w:r>
            <w:r w:rsidR="006F4737">
              <w:rPr>
                <w:noProof/>
                <w:webHidden/>
              </w:rPr>
              <w:fldChar w:fldCharType="separate"/>
            </w:r>
            <w:r w:rsidR="006F4737">
              <w:rPr>
                <w:noProof/>
                <w:webHidden/>
              </w:rPr>
              <w:t>5</w:t>
            </w:r>
            <w:r w:rsidR="006F4737">
              <w:rPr>
                <w:noProof/>
                <w:webHidden/>
              </w:rPr>
              <w:fldChar w:fldCharType="end"/>
            </w:r>
          </w:hyperlink>
        </w:p>
        <w:p w14:paraId="77509855" w14:textId="56322FFF" w:rsidR="006F4737" w:rsidRDefault="00D4123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38900592" w:history="1">
            <w:r w:rsidR="006F4737" w:rsidRPr="006947FD">
              <w:rPr>
                <w:rStyle w:val="Hyperlink"/>
                <w:noProof/>
              </w:rPr>
              <w:t>6.3 Limitations of the PHE data series</w:t>
            </w:r>
            <w:r w:rsidR="006F4737">
              <w:rPr>
                <w:noProof/>
                <w:webHidden/>
              </w:rPr>
              <w:tab/>
            </w:r>
            <w:r w:rsidR="006F4737">
              <w:rPr>
                <w:noProof/>
                <w:webHidden/>
              </w:rPr>
              <w:fldChar w:fldCharType="begin"/>
            </w:r>
            <w:r w:rsidR="006F4737">
              <w:rPr>
                <w:noProof/>
                <w:webHidden/>
              </w:rPr>
              <w:instrText xml:space="preserve"> PAGEREF _Toc38900592 \h </w:instrText>
            </w:r>
            <w:r w:rsidR="006F4737">
              <w:rPr>
                <w:noProof/>
                <w:webHidden/>
              </w:rPr>
            </w:r>
            <w:r w:rsidR="006F4737">
              <w:rPr>
                <w:noProof/>
                <w:webHidden/>
              </w:rPr>
              <w:fldChar w:fldCharType="separate"/>
            </w:r>
            <w:r w:rsidR="006F4737">
              <w:rPr>
                <w:noProof/>
                <w:webHidden/>
              </w:rPr>
              <w:t>7</w:t>
            </w:r>
            <w:r w:rsidR="006F4737">
              <w:rPr>
                <w:noProof/>
                <w:webHidden/>
              </w:rPr>
              <w:fldChar w:fldCharType="end"/>
            </w:r>
          </w:hyperlink>
        </w:p>
        <w:p w14:paraId="69F0F4B4" w14:textId="064B0A89" w:rsidR="006F4737" w:rsidRDefault="00D4123F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en-GB"/>
            </w:rPr>
          </w:pPr>
          <w:hyperlink w:anchor="_Toc38900593" w:history="1">
            <w:r w:rsidR="006F4737" w:rsidRPr="006947FD">
              <w:rPr>
                <w:rStyle w:val="Hyperlink"/>
                <w:noProof/>
              </w:rPr>
              <w:t>6.4 How does the PHE data series compare to the ONS death registrations?</w:t>
            </w:r>
            <w:r w:rsidR="006F4737">
              <w:rPr>
                <w:noProof/>
                <w:webHidden/>
              </w:rPr>
              <w:tab/>
            </w:r>
            <w:r w:rsidR="006F4737">
              <w:rPr>
                <w:noProof/>
                <w:webHidden/>
              </w:rPr>
              <w:fldChar w:fldCharType="begin"/>
            </w:r>
            <w:r w:rsidR="006F4737">
              <w:rPr>
                <w:noProof/>
                <w:webHidden/>
              </w:rPr>
              <w:instrText xml:space="preserve"> PAGEREF _Toc38900593 \h </w:instrText>
            </w:r>
            <w:r w:rsidR="006F4737">
              <w:rPr>
                <w:noProof/>
                <w:webHidden/>
              </w:rPr>
            </w:r>
            <w:r w:rsidR="006F4737">
              <w:rPr>
                <w:noProof/>
                <w:webHidden/>
              </w:rPr>
              <w:fldChar w:fldCharType="separate"/>
            </w:r>
            <w:r w:rsidR="006F4737">
              <w:rPr>
                <w:noProof/>
                <w:webHidden/>
              </w:rPr>
              <w:t>7</w:t>
            </w:r>
            <w:r w:rsidR="006F4737">
              <w:rPr>
                <w:noProof/>
                <w:webHidden/>
              </w:rPr>
              <w:fldChar w:fldCharType="end"/>
            </w:r>
          </w:hyperlink>
        </w:p>
        <w:p w14:paraId="5BE89919" w14:textId="55AC5419" w:rsidR="006F4737" w:rsidRDefault="00D4123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38900594" w:history="1">
            <w:r w:rsidR="006F4737" w:rsidRPr="006947FD">
              <w:rPr>
                <w:rStyle w:val="Hyperlink"/>
                <w:iCs/>
              </w:rPr>
              <w:t>6.</w:t>
            </w:r>
            <w:r w:rsidR="006F4737">
              <w:rPr>
                <w:rFonts w:asciiTheme="minorHAnsi" w:eastAsiaTheme="minorEastAsia" w:hAnsiTheme="minorHAnsi" w:cstheme="minorBidi"/>
                <w:sz w:val="22"/>
                <w:szCs w:val="22"/>
                <w:lang w:val="en-GB" w:eastAsia="en-GB"/>
              </w:rPr>
              <w:tab/>
            </w:r>
            <w:r w:rsidR="006F4737" w:rsidRPr="006947FD">
              <w:rPr>
                <w:rStyle w:val="Hyperlink"/>
                <w:iCs/>
              </w:rPr>
              <w:t>Frequently asked questions</w:t>
            </w:r>
            <w:r w:rsidR="006F4737">
              <w:rPr>
                <w:webHidden/>
              </w:rPr>
              <w:tab/>
            </w:r>
            <w:r w:rsidR="006F4737">
              <w:rPr>
                <w:webHidden/>
              </w:rPr>
              <w:fldChar w:fldCharType="begin"/>
            </w:r>
            <w:r w:rsidR="006F4737">
              <w:rPr>
                <w:webHidden/>
              </w:rPr>
              <w:instrText xml:space="preserve"> PAGEREF _Toc38900594 \h </w:instrText>
            </w:r>
            <w:r w:rsidR="006F4737">
              <w:rPr>
                <w:webHidden/>
              </w:rPr>
            </w:r>
            <w:r w:rsidR="006F4737">
              <w:rPr>
                <w:webHidden/>
              </w:rPr>
              <w:fldChar w:fldCharType="separate"/>
            </w:r>
            <w:r w:rsidR="006F4737">
              <w:rPr>
                <w:webHidden/>
              </w:rPr>
              <w:t>8</w:t>
            </w:r>
            <w:r w:rsidR="006F4737">
              <w:rPr>
                <w:webHidden/>
              </w:rPr>
              <w:fldChar w:fldCharType="end"/>
            </w:r>
          </w:hyperlink>
        </w:p>
        <w:p w14:paraId="054629A7" w14:textId="7B10EC13" w:rsidR="006F4737" w:rsidRDefault="00D4123F">
          <w:pPr>
            <w:pStyle w:val="TOC1"/>
            <w:rPr>
              <w:rFonts w:asciiTheme="minorHAnsi" w:eastAsiaTheme="minorEastAsia" w:hAnsiTheme="minorHAnsi" w:cstheme="minorBidi"/>
              <w:sz w:val="22"/>
              <w:szCs w:val="22"/>
              <w:lang w:val="en-GB" w:eastAsia="en-GB"/>
            </w:rPr>
          </w:pPr>
          <w:hyperlink w:anchor="_Toc38900595" w:history="1">
            <w:r w:rsidR="006F4737" w:rsidRPr="006947FD">
              <w:rPr>
                <w:rStyle w:val="Hyperlink"/>
                <w:iCs/>
              </w:rPr>
              <w:t>Annex 1: Details of data sources included in PHE data series</w:t>
            </w:r>
            <w:r w:rsidR="006F4737">
              <w:rPr>
                <w:webHidden/>
              </w:rPr>
              <w:tab/>
            </w:r>
            <w:r w:rsidR="006F4737">
              <w:rPr>
                <w:webHidden/>
              </w:rPr>
              <w:fldChar w:fldCharType="begin"/>
            </w:r>
            <w:r w:rsidR="006F4737">
              <w:rPr>
                <w:webHidden/>
              </w:rPr>
              <w:instrText xml:space="preserve"> PAGEREF _Toc38900595 \h </w:instrText>
            </w:r>
            <w:r w:rsidR="006F4737">
              <w:rPr>
                <w:webHidden/>
              </w:rPr>
            </w:r>
            <w:r w:rsidR="006F4737">
              <w:rPr>
                <w:webHidden/>
              </w:rPr>
              <w:fldChar w:fldCharType="separate"/>
            </w:r>
            <w:r w:rsidR="006F4737">
              <w:rPr>
                <w:webHidden/>
              </w:rPr>
              <w:t>9</w:t>
            </w:r>
            <w:r w:rsidR="006F4737">
              <w:rPr>
                <w:webHidden/>
              </w:rPr>
              <w:fldChar w:fldCharType="end"/>
            </w:r>
          </w:hyperlink>
        </w:p>
        <w:p w14:paraId="30D3257E" w14:textId="6E857FC2" w:rsidR="00C215E9" w:rsidRDefault="00C215E9" w:rsidP="006B1B64">
          <w:pPr>
            <w:keepLines/>
            <w:ind w:right="-567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DB64625" w14:textId="77777777" w:rsidR="00733F86" w:rsidRDefault="00733F86" w:rsidP="000D0667">
      <w:pPr>
        <w:pStyle w:val="PHESecondaryHeadingTwo"/>
        <w:numPr>
          <w:ilvl w:val="0"/>
          <w:numId w:val="3"/>
        </w:numPr>
        <w:rPr>
          <w:rStyle w:val="PHEFrontpagemaintitle"/>
        </w:rPr>
        <w:sectPr w:rsidR="00733F86" w:rsidSect="00C655D2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701" w:right="907" w:bottom="1134" w:left="851" w:header="720" w:footer="720" w:gutter="0"/>
          <w:cols w:space="720"/>
          <w:formProt w:val="0"/>
          <w:titlePg/>
          <w:docGrid w:linePitch="326"/>
        </w:sectPr>
      </w:pPr>
    </w:p>
    <w:p w14:paraId="7D1BC3CC" w14:textId="3E37D56F" w:rsidR="00733F86" w:rsidRPr="00040C25" w:rsidRDefault="000D0667" w:rsidP="00C215E9">
      <w:pPr>
        <w:pStyle w:val="Style1"/>
        <w:rPr>
          <w:rStyle w:val="PHEFrontpagemaintitle"/>
        </w:rPr>
      </w:pPr>
      <w:bookmarkStart w:id="1" w:name="_Toc38900581"/>
      <w:r w:rsidRPr="00040C25">
        <w:rPr>
          <w:rStyle w:val="PHEFrontpagemaintitle"/>
        </w:rPr>
        <w:lastRenderedPageBreak/>
        <w:t>Summary</w:t>
      </w:r>
      <w:bookmarkEnd w:id="1"/>
    </w:p>
    <w:p w14:paraId="31AF6A6C" w14:textId="5D1C5303" w:rsidR="000D0667" w:rsidRDefault="000D0667" w:rsidP="00176D04"/>
    <w:p w14:paraId="73836EA5" w14:textId="58DA00FB" w:rsidR="001316F9" w:rsidRDefault="0012351B" w:rsidP="00AD1290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Monitoring the number of deaths </w:t>
      </w:r>
      <w:r w:rsidR="00337DB8">
        <w:rPr>
          <w:rFonts w:ascii="Arial" w:hAnsi="Arial" w:cs="Arial"/>
          <w:sz w:val="24"/>
          <w:szCs w:val="24"/>
        </w:rPr>
        <w:t>in people with</w:t>
      </w:r>
      <w:r>
        <w:rPr>
          <w:rFonts w:ascii="Arial" w:hAnsi="Arial" w:cs="Arial"/>
          <w:sz w:val="24"/>
          <w:szCs w:val="24"/>
        </w:rPr>
        <w:t xml:space="preserve"> </w:t>
      </w:r>
      <w:r w:rsidR="00960190" w:rsidRPr="00A4251D">
        <w:rPr>
          <w:rFonts w:ascii="Arial" w:hAnsi="Arial" w:cs="Arial"/>
          <w:sz w:val="24"/>
          <w:szCs w:val="24"/>
        </w:rPr>
        <w:t xml:space="preserve">COVID-19 </w:t>
      </w:r>
      <w:r w:rsidR="00924FE8">
        <w:rPr>
          <w:rFonts w:ascii="Arial" w:hAnsi="Arial" w:cs="Arial"/>
          <w:sz w:val="24"/>
          <w:szCs w:val="24"/>
        </w:rPr>
        <w:t>is</w:t>
      </w:r>
      <w:r w:rsidR="00960190" w:rsidRPr="00A4251D">
        <w:rPr>
          <w:rFonts w:ascii="Arial" w:hAnsi="Arial" w:cs="Arial"/>
          <w:sz w:val="24"/>
          <w:szCs w:val="24"/>
        </w:rPr>
        <w:t xml:space="preserve"> a vital</w:t>
      </w:r>
      <w:r w:rsidR="00924FE8">
        <w:rPr>
          <w:rFonts w:ascii="Arial" w:hAnsi="Arial" w:cs="Arial"/>
          <w:sz w:val="24"/>
          <w:szCs w:val="24"/>
        </w:rPr>
        <w:t xml:space="preserve"> part of </w:t>
      </w:r>
      <w:r w:rsidR="00960190" w:rsidRPr="00A4251D">
        <w:rPr>
          <w:rFonts w:ascii="Arial" w:hAnsi="Arial" w:cs="Arial"/>
          <w:sz w:val="24"/>
          <w:szCs w:val="24"/>
        </w:rPr>
        <w:t xml:space="preserve">tracking </w:t>
      </w:r>
      <w:r w:rsidR="00E254DB">
        <w:rPr>
          <w:rFonts w:ascii="Arial" w:hAnsi="Arial" w:cs="Arial"/>
          <w:sz w:val="24"/>
          <w:szCs w:val="24"/>
        </w:rPr>
        <w:t xml:space="preserve">the </w:t>
      </w:r>
      <w:r w:rsidR="00415D07">
        <w:rPr>
          <w:rFonts w:ascii="Arial" w:hAnsi="Arial" w:cs="Arial"/>
          <w:sz w:val="24"/>
          <w:szCs w:val="24"/>
        </w:rPr>
        <w:t>pandemic</w:t>
      </w:r>
      <w:r w:rsidR="00960190" w:rsidRPr="00A4251D">
        <w:rPr>
          <w:rFonts w:ascii="Arial" w:hAnsi="Arial" w:cs="Arial"/>
          <w:sz w:val="24"/>
          <w:szCs w:val="24"/>
        </w:rPr>
        <w:t xml:space="preserve">. </w:t>
      </w:r>
      <w:r w:rsidR="00545A67">
        <w:rPr>
          <w:rFonts w:ascii="Arial" w:hAnsi="Arial" w:cs="Arial"/>
          <w:sz w:val="24"/>
          <w:szCs w:val="24"/>
        </w:rPr>
        <w:t>The</w:t>
      </w:r>
      <w:r w:rsidR="001316F9">
        <w:rPr>
          <w:rFonts w:ascii="Arial" w:hAnsi="Arial" w:cs="Arial"/>
          <w:sz w:val="24"/>
          <w:szCs w:val="24"/>
        </w:rPr>
        <w:t xml:space="preserve"> Department of Health and Social Care (DHSC) </w:t>
      </w:r>
      <w:r w:rsidR="00A40CD9">
        <w:rPr>
          <w:rFonts w:ascii="Arial" w:hAnsi="Arial" w:cs="Arial"/>
          <w:sz w:val="24"/>
          <w:szCs w:val="24"/>
        </w:rPr>
        <w:t>has reported</w:t>
      </w:r>
      <w:r w:rsidR="003A38FC">
        <w:rPr>
          <w:rFonts w:ascii="Arial" w:hAnsi="Arial" w:cs="Arial"/>
          <w:sz w:val="24"/>
          <w:szCs w:val="24"/>
        </w:rPr>
        <w:t xml:space="preserve"> </w:t>
      </w:r>
      <w:r w:rsidR="00545A67">
        <w:rPr>
          <w:rFonts w:ascii="Arial" w:hAnsi="Arial" w:cs="Arial"/>
          <w:sz w:val="24"/>
          <w:szCs w:val="24"/>
        </w:rPr>
        <w:t xml:space="preserve">the </w:t>
      </w:r>
      <w:r w:rsidR="001316F9">
        <w:rPr>
          <w:rFonts w:ascii="Arial" w:hAnsi="Arial" w:cs="Arial"/>
          <w:sz w:val="24"/>
          <w:szCs w:val="24"/>
        </w:rPr>
        <w:t xml:space="preserve">daily UK-wide </w:t>
      </w:r>
      <w:r w:rsidR="00545A67">
        <w:rPr>
          <w:rFonts w:ascii="Arial" w:hAnsi="Arial" w:cs="Arial"/>
          <w:sz w:val="24"/>
          <w:szCs w:val="24"/>
        </w:rPr>
        <w:t xml:space="preserve">number </w:t>
      </w:r>
      <w:r w:rsidR="001316F9">
        <w:rPr>
          <w:rFonts w:ascii="Arial" w:hAnsi="Arial" w:cs="Arial"/>
          <w:sz w:val="24"/>
          <w:szCs w:val="24"/>
        </w:rPr>
        <w:t>of deaths</w:t>
      </w:r>
      <w:r w:rsidR="00545A67">
        <w:rPr>
          <w:rFonts w:ascii="Arial" w:hAnsi="Arial" w:cs="Arial"/>
          <w:sz w:val="24"/>
          <w:szCs w:val="24"/>
        </w:rPr>
        <w:t xml:space="preserve"> in hospital among people</w:t>
      </w:r>
      <w:r w:rsidR="001316F9">
        <w:rPr>
          <w:rFonts w:ascii="Arial" w:hAnsi="Arial" w:cs="Arial"/>
          <w:sz w:val="24"/>
          <w:szCs w:val="24"/>
        </w:rPr>
        <w:t xml:space="preserve"> with </w:t>
      </w:r>
      <w:r w:rsidR="00545A67">
        <w:rPr>
          <w:rFonts w:ascii="Arial" w:hAnsi="Arial" w:cs="Arial"/>
          <w:sz w:val="24"/>
          <w:szCs w:val="24"/>
        </w:rPr>
        <w:t xml:space="preserve">confirmed </w:t>
      </w:r>
      <w:r w:rsidR="001316F9">
        <w:rPr>
          <w:rFonts w:ascii="Arial" w:hAnsi="Arial" w:cs="Arial"/>
          <w:sz w:val="24"/>
          <w:szCs w:val="24"/>
        </w:rPr>
        <w:t>COVID-19</w:t>
      </w:r>
      <w:r w:rsidR="00545A67">
        <w:rPr>
          <w:rFonts w:ascii="Arial" w:hAnsi="Arial" w:cs="Arial"/>
          <w:sz w:val="24"/>
          <w:szCs w:val="24"/>
        </w:rPr>
        <w:t xml:space="preserve"> since </w:t>
      </w:r>
      <w:r w:rsidR="00542FD9">
        <w:rPr>
          <w:rFonts w:ascii="Arial" w:hAnsi="Arial" w:cs="Arial"/>
          <w:sz w:val="24"/>
          <w:szCs w:val="24"/>
        </w:rPr>
        <w:t>5</w:t>
      </w:r>
      <w:r w:rsidR="00545A67">
        <w:rPr>
          <w:rFonts w:ascii="Arial" w:hAnsi="Arial" w:cs="Arial"/>
          <w:sz w:val="24"/>
          <w:szCs w:val="24"/>
        </w:rPr>
        <w:t xml:space="preserve"> March 2020</w:t>
      </w:r>
      <w:r w:rsidR="001316F9">
        <w:rPr>
          <w:rFonts w:ascii="Arial" w:hAnsi="Arial" w:cs="Arial"/>
          <w:sz w:val="24"/>
          <w:szCs w:val="24"/>
        </w:rPr>
        <w:t xml:space="preserve">. In England, this data </w:t>
      </w:r>
      <w:r w:rsidR="002E1207">
        <w:rPr>
          <w:rFonts w:ascii="Arial" w:hAnsi="Arial" w:cs="Arial"/>
          <w:sz w:val="24"/>
          <w:szCs w:val="24"/>
        </w:rPr>
        <w:t xml:space="preserve">was </w:t>
      </w:r>
      <w:r w:rsidR="001316F9">
        <w:rPr>
          <w:rFonts w:ascii="Arial" w:hAnsi="Arial" w:cs="Arial"/>
          <w:sz w:val="24"/>
          <w:szCs w:val="24"/>
        </w:rPr>
        <w:t xml:space="preserve">collected by </w:t>
      </w:r>
      <w:r w:rsidR="00E613CA">
        <w:rPr>
          <w:rFonts w:ascii="Arial" w:hAnsi="Arial" w:cs="Arial"/>
          <w:sz w:val="24"/>
          <w:szCs w:val="24"/>
        </w:rPr>
        <w:t>NHS England</w:t>
      </w:r>
      <w:r w:rsidR="00960190" w:rsidRPr="00A4251D">
        <w:rPr>
          <w:rFonts w:ascii="Arial" w:hAnsi="Arial" w:cs="Arial"/>
          <w:sz w:val="24"/>
          <w:szCs w:val="24"/>
        </w:rPr>
        <w:t xml:space="preserve">. </w:t>
      </w:r>
      <w:r w:rsidR="00337DB8">
        <w:rPr>
          <w:rFonts w:ascii="Arial" w:hAnsi="Arial" w:cs="Arial"/>
          <w:sz w:val="24"/>
          <w:szCs w:val="24"/>
        </w:rPr>
        <w:t xml:space="preserve">The </w:t>
      </w:r>
      <w:r w:rsidR="00A40CD9">
        <w:rPr>
          <w:rFonts w:ascii="Arial" w:hAnsi="Arial" w:cs="Arial"/>
          <w:sz w:val="24"/>
          <w:szCs w:val="24"/>
        </w:rPr>
        <w:t xml:space="preserve">Office for National Statistics (ONS) </w:t>
      </w:r>
      <w:r w:rsidR="00337DB8">
        <w:rPr>
          <w:rFonts w:ascii="Arial" w:hAnsi="Arial" w:cs="Arial"/>
          <w:sz w:val="24"/>
          <w:szCs w:val="24"/>
        </w:rPr>
        <w:t xml:space="preserve">also </w:t>
      </w:r>
      <w:r w:rsidR="00AD1290" w:rsidRPr="00AD1290">
        <w:rPr>
          <w:rFonts w:ascii="Arial" w:hAnsi="Arial" w:cs="Arial"/>
          <w:sz w:val="24"/>
          <w:szCs w:val="24"/>
        </w:rPr>
        <w:t>publishes weekly counts of deaths in which COVID-19 was mentioned on the death certificate</w:t>
      </w:r>
      <w:r w:rsidR="00AD1290">
        <w:rPr>
          <w:rFonts w:ascii="Arial" w:hAnsi="Arial" w:cs="Arial"/>
          <w:sz w:val="24"/>
          <w:szCs w:val="24"/>
        </w:rPr>
        <w:t xml:space="preserve"> </w:t>
      </w:r>
      <w:r w:rsidR="00AD1290" w:rsidRPr="00AD1290">
        <w:rPr>
          <w:rFonts w:ascii="Arial" w:hAnsi="Arial" w:cs="Arial"/>
          <w:sz w:val="24"/>
          <w:szCs w:val="24"/>
        </w:rPr>
        <w:t>up to 11 days before publication</w:t>
      </w:r>
      <w:r w:rsidR="00AD1290">
        <w:rPr>
          <w:rFonts w:ascii="Arial" w:hAnsi="Arial" w:cs="Arial"/>
          <w:sz w:val="24"/>
          <w:szCs w:val="24"/>
        </w:rPr>
        <w:t>.</w:t>
      </w:r>
    </w:p>
    <w:p w14:paraId="7AC733A8" w14:textId="77777777" w:rsidR="00100BC1" w:rsidRDefault="00100BC1" w:rsidP="00100BC1">
      <w:pPr>
        <w:pStyle w:val="ListParagraph"/>
        <w:rPr>
          <w:rFonts w:ascii="Arial" w:hAnsi="Arial" w:cs="Arial"/>
          <w:sz w:val="24"/>
          <w:szCs w:val="24"/>
        </w:rPr>
      </w:pPr>
    </w:p>
    <w:p w14:paraId="2E8DB2F9" w14:textId="43EE1366" w:rsidR="00136BF7" w:rsidRDefault="001316F9" w:rsidP="0086329F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337DB8">
        <w:rPr>
          <w:rFonts w:ascii="Arial" w:hAnsi="Arial" w:cs="Arial"/>
          <w:sz w:val="24"/>
          <w:szCs w:val="24"/>
        </w:rPr>
        <w:t xml:space="preserve">Public Health England (PHE) </w:t>
      </w:r>
      <w:r w:rsidR="00100BC1" w:rsidRPr="00337DB8">
        <w:rPr>
          <w:rFonts w:ascii="Arial" w:hAnsi="Arial" w:cs="Arial"/>
          <w:sz w:val="24"/>
          <w:szCs w:val="24"/>
        </w:rPr>
        <w:t>has</w:t>
      </w:r>
      <w:r w:rsidRPr="00337DB8">
        <w:rPr>
          <w:rFonts w:ascii="Arial" w:hAnsi="Arial" w:cs="Arial"/>
          <w:sz w:val="24"/>
          <w:szCs w:val="24"/>
        </w:rPr>
        <w:t xml:space="preserve"> developed a </w:t>
      </w:r>
      <w:r w:rsidR="00F169BB">
        <w:rPr>
          <w:rFonts w:ascii="Arial" w:hAnsi="Arial" w:cs="Arial"/>
          <w:sz w:val="24"/>
          <w:szCs w:val="24"/>
        </w:rPr>
        <w:t>data series</w:t>
      </w:r>
      <w:r w:rsidR="003E439F">
        <w:rPr>
          <w:rFonts w:ascii="Arial" w:hAnsi="Arial" w:cs="Arial"/>
          <w:sz w:val="24"/>
          <w:szCs w:val="24"/>
        </w:rPr>
        <w:t xml:space="preserve"> </w:t>
      </w:r>
      <w:r w:rsidRPr="00337DB8">
        <w:rPr>
          <w:rFonts w:ascii="Arial" w:hAnsi="Arial" w:cs="Arial"/>
          <w:sz w:val="24"/>
          <w:szCs w:val="24"/>
        </w:rPr>
        <w:t xml:space="preserve">that </w:t>
      </w:r>
      <w:r w:rsidR="00337DB8" w:rsidRPr="00337DB8">
        <w:rPr>
          <w:rFonts w:ascii="Arial" w:hAnsi="Arial" w:cs="Arial"/>
          <w:sz w:val="24"/>
          <w:szCs w:val="24"/>
        </w:rPr>
        <w:t>collates</w:t>
      </w:r>
      <w:r w:rsidRPr="00337DB8">
        <w:rPr>
          <w:rFonts w:ascii="Arial" w:hAnsi="Arial" w:cs="Arial"/>
          <w:sz w:val="24"/>
          <w:szCs w:val="24"/>
        </w:rPr>
        <w:t xml:space="preserve"> </w:t>
      </w:r>
      <w:r w:rsidR="00AD1290">
        <w:rPr>
          <w:rFonts w:ascii="Arial" w:hAnsi="Arial" w:cs="Arial"/>
          <w:sz w:val="24"/>
          <w:szCs w:val="24"/>
        </w:rPr>
        <w:t>reports</w:t>
      </w:r>
      <w:r w:rsidR="00924FE8" w:rsidRPr="00337DB8">
        <w:rPr>
          <w:rFonts w:ascii="Arial" w:hAnsi="Arial" w:cs="Arial"/>
          <w:sz w:val="24"/>
          <w:szCs w:val="24"/>
        </w:rPr>
        <w:t xml:space="preserve"> </w:t>
      </w:r>
      <w:r w:rsidRPr="00337DB8">
        <w:rPr>
          <w:rFonts w:ascii="Arial" w:hAnsi="Arial" w:cs="Arial"/>
          <w:sz w:val="24"/>
          <w:szCs w:val="24"/>
        </w:rPr>
        <w:t>from multiple sources</w:t>
      </w:r>
      <w:r w:rsidR="006C2764">
        <w:rPr>
          <w:rFonts w:ascii="Arial" w:hAnsi="Arial" w:cs="Arial"/>
          <w:sz w:val="24"/>
          <w:szCs w:val="24"/>
        </w:rPr>
        <w:t xml:space="preserve"> to </w:t>
      </w:r>
      <w:r w:rsidR="002A52E5">
        <w:rPr>
          <w:rFonts w:ascii="Arial" w:hAnsi="Arial" w:cs="Arial"/>
          <w:sz w:val="24"/>
          <w:szCs w:val="24"/>
        </w:rPr>
        <w:t xml:space="preserve">give </w:t>
      </w:r>
      <w:r w:rsidRPr="00337DB8">
        <w:rPr>
          <w:rFonts w:ascii="Arial" w:hAnsi="Arial" w:cs="Arial"/>
          <w:sz w:val="24"/>
          <w:szCs w:val="24"/>
        </w:rPr>
        <w:t xml:space="preserve">a </w:t>
      </w:r>
      <w:r w:rsidR="00E5266B" w:rsidRPr="00337DB8">
        <w:rPr>
          <w:rFonts w:ascii="Arial" w:hAnsi="Arial" w:cs="Arial"/>
          <w:sz w:val="24"/>
          <w:szCs w:val="24"/>
        </w:rPr>
        <w:t xml:space="preserve">daily </w:t>
      </w:r>
      <w:r w:rsidR="00545A67">
        <w:rPr>
          <w:rFonts w:ascii="Arial" w:hAnsi="Arial" w:cs="Arial"/>
          <w:sz w:val="24"/>
          <w:szCs w:val="24"/>
        </w:rPr>
        <w:t>number</w:t>
      </w:r>
      <w:r w:rsidR="00545A67" w:rsidRPr="00337DB8">
        <w:rPr>
          <w:rFonts w:ascii="Arial" w:hAnsi="Arial" w:cs="Arial"/>
          <w:sz w:val="24"/>
          <w:szCs w:val="24"/>
        </w:rPr>
        <w:t xml:space="preserve"> </w:t>
      </w:r>
      <w:r w:rsidR="00337DB8" w:rsidRPr="00337DB8">
        <w:rPr>
          <w:rFonts w:ascii="Arial" w:hAnsi="Arial" w:cs="Arial"/>
          <w:sz w:val="24"/>
          <w:szCs w:val="24"/>
        </w:rPr>
        <w:t>of deaths</w:t>
      </w:r>
      <w:r w:rsidR="00AD1290">
        <w:rPr>
          <w:rFonts w:ascii="Arial" w:hAnsi="Arial" w:cs="Arial"/>
          <w:sz w:val="24"/>
          <w:szCs w:val="24"/>
        </w:rPr>
        <w:t xml:space="preserve"> </w:t>
      </w:r>
      <w:r w:rsidR="00F005A5">
        <w:rPr>
          <w:rFonts w:ascii="Arial" w:hAnsi="Arial" w:cs="Arial"/>
          <w:sz w:val="24"/>
          <w:szCs w:val="24"/>
        </w:rPr>
        <w:t>in</w:t>
      </w:r>
      <w:r w:rsidR="00AD1290">
        <w:rPr>
          <w:rFonts w:ascii="Arial" w:hAnsi="Arial" w:cs="Arial"/>
          <w:sz w:val="24"/>
          <w:szCs w:val="24"/>
        </w:rPr>
        <w:t xml:space="preserve"> people with</w:t>
      </w:r>
      <w:r w:rsidR="00F005A5">
        <w:rPr>
          <w:rFonts w:ascii="Arial" w:hAnsi="Arial" w:cs="Arial"/>
          <w:sz w:val="24"/>
          <w:szCs w:val="24"/>
        </w:rPr>
        <w:t xml:space="preserve"> a positive</w:t>
      </w:r>
      <w:r w:rsidR="00AD1290">
        <w:rPr>
          <w:rFonts w:ascii="Arial" w:hAnsi="Arial" w:cs="Arial"/>
          <w:sz w:val="24"/>
          <w:szCs w:val="24"/>
        </w:rPr>
        <w:t xml:space="preserve"> COVID</w:t>
      </w:r>
      <w:r w:rsidR="003E439F">
        <w:rPr>
          <w:rFonts w:ascii="Arial" w:hAnsi="Arial" w:cs="Arial"/>
          <w:sz w:val="24"/>
          <w:szCs w:val="24"/>
        </w:rPr>
        <w:t>-19</w:t>
      </w:r>
      <w:r w:rsidR="00F005A5">
        <w:rPr>
          <w:rFonts w:ascii="Arial" w:hAnsi="Arial" w:cs="Arial"/>
          <w:sz w:val="24"/>
          <w:szCs w:val="24"/>
        </w:rPr>
        <w:t xml:space="preserve"> test</w:t>
      </w:r>
      <w:r w:rsidR="00337DB8" w:rsidRPr="00337DB8">
        <w:rPr>
          <w:rFonts w:ascii="Arial" w:hAnsi="Arial" w:cs="Arial"/>
          <w:sz w:val="24"/>
          <w:szCs w:val="24"/>
        </w:rPr>
        <w:t xml:space="preserve"> in England</w:t>
      </w:r>
      <w:r w:rsidR="00845D1B" w:rsidRPr="00337DB8">
        <w:rPr>
          <w:rFonts w:ascii="Arial" w:hAnsi="Arial" w:cs="Arial"/>
          <w:sz w:val="24"/>
          <w:szCs w:val="24"/>
        </w:rPr>
        <w:t xml:space="preserve">, regardless of </w:t>
      </w:r>
      <w:r w:rsidR="00924FE8" w:rsidRPr="00337DB8">
        <w:rPr>
          <w:rFonts w:ascii="Arial" w:hAnsi="Arial" w:cs="Arial"/>
          <w:sz w:val="24"/>
          <w:szCs w:val="24"/>
        </w:rPr>
        <w:t>where they</w:t>
      </w:r>
      <w:r w:rsidR="00337DB8" w:rsidRPr="00337DB8">
        <w:rPr>
          <w:rFonts w:ascii="Arial" w:hAnsi="Arial" w:cs="Arial"/>
          <w:sz w:val="24"/>
          <w:szCs w:val="24"/>
        </w:rPr>
        <w:t xml:space="preserve"> died. </w:t>
      </w:r>
    </w:p>
    <w:p w14:paraId="0A52BF03" w14:textId="77777777" w:rsidR="00337DB8" w:rsidRPr="00337DB8" w:rsidRDefault="00337DB8" w:rsidP="00337DB8">
      <w:pPr>
        <w:pStyle w:val="ListParagraph"/>
        <w:rPr>
          <w:rFonts w:ascii="Arial" w:hAnsi="Arial" w:cs="Arial"/>
          <w:sz w:val="24"/>
          <w:szCs w:val="24"/>
        </w:rPr>
      </w:pPr>
    </w:p>
    <w:p w14:paraId="51B8B516" w14:textId="3DEA960B" w:rsidR="003E439F" w:rsidRDefault="00960190" w:rsidP="00960190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DD75EF">
        <w:rPr>
          <w:rFonts w:ascii="Arial" w:hAnsi="Arial" w:cs="Arial"/>
          <w:sz w:val="24"/>
          <w:szCs w:val="24"/>
        </w:rPr>
        <w:t xml:space="preserve">From </w:t>
      </w:r>
      <w:r w:rsidR="00DD75EF" w:rsidRPr="00DD75EF">
        <w:rPr>
          <w:rFonts w:ascii="Arial" w:hAnsi="Arial" w:cs="Arial"/>
          <w:sz w:val="24"/>
          <w:szCs w:val="24"/>
        </w:rPr>
        <w:t>2</w:t>
      </w:r>
      <w:r w:rsidR="00542FD9">
        <w:rPr>
          <w:rFonts w:ascii="Arial" w:hAnsi="Arial" w:cs="Arial"/>
          <w:sz w:val="24"/>
          <w:szCs w:val="24"/>
        </w:rPr>
        <w:t>9</w:t>
      </w:r>
      <w:r w:rsidR="00EE15E4">
        <w:rPr>
          <w:rFonts w:ascii="Arial" w:hAnsi="Arial" w:cs="Arial"/>
          <w:sz w:val="24"/>
          <w:szCs w:val="24"/>
        </w:rPr>
        <w:t xml:space="preserve"> </w:t>
      </w:r>
      <w:r w:rsidR="00BA4EC4" w:rsidRPr="00DD75EF">
        <w:rPr>
          <w:rFonts w:ascii="Arial" w:hAnsi="Arial" w:cs="Arial"/>
          <w:sz w:val="24"/>
          <w:szCs w:val="24"/>
        </w:rPr>
        <w:t>April 2020</w:t>
      </w:r>
      <w:r w:rsidRPr="00A4251D">
        <w:rPr>
          <w:rFonts w:ascii="Arial" w:hAnsi="Arial" w:cs="Arial"/>
          <w:sz w:val="24"/>
          <w:szCs w:val="24"/>
        </w:rPr>
        <w:t xml:space="preserve">, COVID-19 deaths </w:t>
      </w:r>
      <w:r w:rsidR="004E45DB">
        <w:rPr>
          <w:rFonts w:ascii="Arial" w:hAnsi="Arial" w:cs="Arial"/>
          <w:sz w:val="24"/>
          <w:szCs w:val="24"/>
        </w:rPr>
        <w:t xml:space="preserve">in England </w:t>
      </w:r>
      <w:r w:rsidRPr="00A4251D">
        <w:rPr>
          <w:rFonts w:ascii="Arial" w:hAnsi="Arial" w:cs="Arial"/>
          <w:sz w:val="24"/>
          <w:szCs w:val="24"/>
        </w:rPr>
        <w:t xml:space="preserve">will be reported </w:t>
      </w:r>
      <w:r w:rsidR="00AD1290">
        <w:rPr>
          <w:rFonts w:ascii="Arial" w:hAnsi="Arial" w:cs="Arial"/>
          <w:sz w:val="24"/>
          <w:szCs w:val="24"/>
        </w:rPr>
        <w:t>using the</w:t>
      </w:r>
      <w:r w:rsidRPr="00A4251D">
        <w:rPr>
          <w:rFonts w:ascii="Arial" w:hAnsi="Arial" w:cs="Arial"/>
          <w:sz w:val="24"/>
          <w:szCs w:val="24"/>
        </w:rPr>
        <w:t xml:space="preserve"> </w:t>
      </w:r>
      <w:r w:rsidR="00AD1290">
        <w:rPr>
          <w:rFonts w:ascii="Arial" w:hAnsi="Arial" w:cs="Arial"/>
          <w:sz w:val="24"/>
          <w:szCs w:val="24"/>
        </w:rPr>
        <w:t xml:space="preserve">PHE data series. </w:t>
      </w:r>
      <w:r w:rsidR="004E45DB">
        <w:rPr>
          <w:rFonts w:ascii="Arial" w:hAnsi="Arial" w:cs="Arial"/>
          <w:sz w:val="24"/>
          <w:szCs w:val="24"/>
        </w:rPr>
        <w:t xml:space="preserve">Each day, PHE </w:t>
      </w:r>
      <w:r w:rsidR="00AD1290">
        <w:rPr>
          <w:rFonts w:ascii="Arial" w:hAnsi="Arial" w:cs="Arial"/>
          <w:sz w:val="24"/>
          <w:szCs w:val="24"/>
        </w:rPr>
        <w:t>combines</w:t>
      </w:r>
      <w:r w:rsidR="004E45DB">
        <w:rPr>
          <w:rFonts w:ascii="Arial" w:hAnsi="Arial" w:cs="Arial"/>
          <w:sz w:val="24"/>
          <w:szCs w:val="24"/>
        </w:rPr>
        <w:t xml:space="preserve"> data from three diffe</w:t>
      </w:r>
      <w:r w:rsidR="00100BC1">
        <w:rPr>
          <w:rFonts w:ascii="Arial" w:hAnsi="Arial" w:cs="Arial"/>
          <w:sz w:val="24"/>
          <w:szCs w:val="24"/>
        </w:rPr>
        <w:t>rent sources</w:t>
      </w:r>
      <w:r w:rsidR="00AD1290">
        <w:rPr>
          <w:rFonts w:ascii="Arial" w:hAnsi="Arial" w:cs="Arial"/>
          <w:sz w:val="24"/>
          <w:szCs w:val="24"/>
        </w:rPr>
        <w:t xml:space="preserve">: </w:t>
      </w:r>
    </w:p>
    <w:p w14:paraId="6C2C5D90" w14:textId="77777777" w:rsidR="00F005A5" w:rsidRDefault="00F005A5" w:rsidP="003E439F">
      <w:pPr>
        <w:pStyle w:val="ListParagraph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Deaths</w:t>
      </w:r>
      <w:r w:rsidRPr="007257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occurring in hospitals, notified to NHS England by NHS</w:t>
      </w:r>
      <w:r w:rsidRPr="0072575F">
        <w:rPr>
          <w:rFonts w:ascii="Arial" w:hAnsi="Arial" w:cs="Arial"/>
          <w:sz w:val="24"/>
          <w:szCs w:val="24"/>
        </w:rPr>
        <w:t xml:space="preserve"> trusts </w:t>
      </w:r>
    </w:p>
    <w:p w14:paraId="4C3ED6B0" w14:textId="70E06916" w:rsidR="003E439F" w:rsidRDefault="00545A67" w:rsidP="003E439F">
      <w:pPr>
        <w:pStyle w:val="ListParagraph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Deaths notified to</w:t>
      </w:r>
      <w:r w:rsidR="004E45DB">
        <w:rPr>
          <w:rFonts w:ascii="Arial" w:hAnsi="Arial" w:cs="Arial"/>
          <w:sz w:val="24"/>
          <w:szCs w:val="24"/>
        </w:rPr>
        <w:t xml:space="preserve"> </w:t>
      </w:r>
      <w:r w:rsidR="003E439F">
        <w:rPr>
          <w:rFonts w:ascii="Arial" w:hAnsi="Arial" w:cs="Arial"/>
          <w:sz w:val="24"/>
          <w:szCs w:val="24"/>
        </w:rPr>
        <w:t xml:space="preserve">local </w:t>
      </w:r>
      <w:r w:rsidR="004E45DB">
        <w:rPr>
          <w:rFonts w:ascii="Arial" w:hAnsi="Arial" w:cs="Arial"/>
          <w:sz w:val="24"/>
          <w:szCs w:val="24"/>
        </w:rPr>
        <w:t xml:space="preserve">PHE </w:t>
      </w:r>
      <w:r w:rsidR="00415D07">
        <w:rPr>
          <w:rFonts w:ascii="Arial" w:hAnsi="Arial" w:cs="Arial"/>
          <w:sz w:val="24"/>
          <w:szCs w:val="24"/>
        </w:rPr>
        <w:t>H</w:t>
      </w:r>
      <w:r w:rsidR="004E45DB">
        <w:rPr>
          <w:rFonts w:ascii="Arial" w:hAnsi="Arial" w:cs="Arial"/>
          <w:sz w:val="24"/>
          <w:szCs w:val="24"/>
        </w:rPr>
        <w:t xml:space="preserve">ealth </w:t>
      </w:r>
      <w:r w:rsidR="00415D07">
        <w:rPr>
          <w:rFonts w:ascii="Arial" w:hAnsi="Arial" w:cs="Arial"/>
          <w:sz w:val="24"/>
          <w:szCs w:val="24"/>
        </w:rPr>
        <w:t>P</w:t>
      </w:r>
      <w:r w:rsidR="004E45DB">
        <w:rPr>
          <w:rFonts w:ascii="Arial" w:hAnsi="Arial" w:cs="Arial"/>
          <w:sz w:val="24"/>
          <w:szCs w:val="24"/>
        </w:rPr>
        <w:t xml:space="preserve">rotection </w:t>
      </w:r>
      <w:r w:rsidR="00415D07">
        <w:rPr>
          <w:rFonts w:ascii="Arial" w:hAnsi="Arial" w:cs="Arial"/>
          <w:sz w:val="24"/>
          <w:szCs w:val="24"/>
        </w:rPr>
        <w:t>T</w:t>
      </w:r>
      <w:r w:rsidR="004E45DB">
        <w:rPr>
          <w:rFonts w:ascii="Arial" w:hAnsi="Arial" w:cs="Arial"/>
          <w:sz w:val="24"/>
          <w:szCs w:val="24"/>
        </w:rPr>
        <w:t>eams</w:t>
      </w:r>
      <w:r w:rsidR="003E439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613CA">
        <w:rPr>
          <w:rFonts w:ascii="Arial" w:hAnsi="Arial" w:cs="Arial"/>
          <w:sz w:val="24"/>
          <w:szCs w:val="24"/>
        </w:rPr>
        <w:t>in the course of</w:t>
      </w:r>
      <w:proofErr w:type="gramEnd"/>
      <w:r w:rsidR="00E613CA">
        <w:rPr>
          <w:rFonts w:ascii="Arial" w:hAnsi="Arial" w:cs="Arial"/>
          <w:sz w:val="24"/>
          <w:szCs w:val="24"/>
        </w:rPr>
        <w:t xml:space="preserve"> outbreak</w:t>
      </w:r>
      <w:r w:rsidR="003E439F">
        <w:rPr>
          <w:rFonts w:ascii="Arial" w:hAnsi="Arial" w:cs="Arial"/>
          <w:sz w:val="24"/>
          <w:szCs w:val="24"/>
        </w:rPr>
        <w:t xml:space="preserve"> </w:t>
      </w:r>
      <w:r w:rsidR="00CF6DA9">
        <w:rPr>
          <w:rFonts w:ascii="Arial" w:hAnsi="Arial" w:cs="Arial"/>
          <w:sz w:val="24"/>
          <w:szCs w:val="24"/>
        </w:rPr>
        <w:t>management</w:t>
      </w:r>
    </w:p>
    <w:p w14:paraId="12D134D1" w14:textId="62250596" w:rsidR="003E439F" w:rsidRPr="003E439F" w:rsidRDefault="003E439F" w:rsidP="003E439F">
      <w:pPr>
        <w:pStyle w:val="ListParagraph"/>
        <w:numPr>
          <w:ilvl w:val="1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Laboratory </w:t>
      </w:r>
      <w:r w:rsidRPr="003E439F">
        <w:rPr>
          <w:rFonts w:ascii="Arial" w:hAnsi="Arial" w:cs="Arial"/>
          <w:sz w:val="24"/>
          <w:szCs w:val="24"/>
        </w:rPr>
        <w:t>reports where a person has had a laboratory confirmed COVID</w:t>
      </w:r>
      <w:r>
        <w:rPr>
          <w:rFonts w:ascii="Arial" w:hAnsi="Arial" w:cs="Arial"/>
          <w:sz w:val="24"/>
          <w:szCs w:val="24"/>
        </w:rPr>
        <w:t>-19</w:t>
      </w:r>
      <w:r w:rsidRPr="003E439F">
        <w:rPr>
          <w:rFonts w:ascii="Arial" w:hAnsi="Arial" w:cs="Arial"/>
          <w:sz w:val="24"/>
          <w:szCs w:val="24"/>
        </w:rPr>
        <w:t xml:space="preserve"> test linked to death reports from electronic hospital</w:t>
      </w:r>
      <w:r>
        <w:rPr>
          <w:rFonts w:ascii="Arial" w:hAnsi="Arial" w:cs="Arial"/>
          <w:sz w:val="24"/>
          <w:szCs w:val="24"/>
        </w:rPr>
        <w:t xml:space="preserve"> </w:t>
      </w:r>
      <w:r w:rsidRPr="003E439F">
        <w:rPr>
          <w:rFonts w:ascii="Arial" w:hAnsi="Arial" w:cs="Arial"/>
          <w:sz w:val="24"/>
          <w:szCs w:val="24"/>
        </w:rPr>
        <w:t xml:space="preserve">records </w:t>
      </w:r>
    </w:p>
    <w:p w14:paraId="4F6492C7" w14:textId="77777777" w:rsidR="003E439F" w:rsidRDefault="003E439F" w:rsidP="003E439F">
      <w:pPr>
        <w:pStyle w:val="ListParagraph"/>
        <w:rPr>
          <w:rFonts w:ascii="Arial" w:hAnsi="Arial" w:cs="Arial"/>
          <w:sz w:val="24"/>
          <w:szCs w:val="24"/>
        </w:rPr>
      </w:pPr>
    </w:p>
    <w:p w14:paraId="4E27AF64" w14:textId="2582E678" w:rsidR="00123843" w:rsidRPr="003104D4" w:rsidRDefault="0086329F" w:rsidP="003E439F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advantage</w:t>
      </w:r>
      <w:r w:rsidR="00960190" w:rsidRPr="00A4251D">
        <w:rPr>
          <w:rFonts w:ascii="Arial" w:hAnsi="Arial" w:cs="Arial"/>
          <w:sz w:val="24"/>
          <w:szCs w:val="24"/>
        </w:rPr>
        <w:t xml:space="preserve"> of the PHE </w:t>
      </w:r>
      <w:r w:rsidR="004E45DB">
        <w:rPr>
          <w:rFonts w:ascii="Arial" w:hAnsi="Arial" w:cs="Arial"/>
          <w:sz w:val="24"/>
          <w:szCs w:val="24"/>
        </w:rPr>
        <w:t>data series</w:t>
      </w:r>
      <w:r w:rsidR="003E439F">
        <w:rPr>
          <w:rFonts w:ascii="Arial" w:hAnsi="Arial" w:cs="Arial"/>
          <w:sz w:val="24"/>
          <w:szCs w:val="24"/>
        </w:rPr>
        <w:t xml:space="preserve"> is</w:t>
      </w:r>
      <w:r w:rsidR="008C5BE4">
        <w:rPr>
          <w:rFonts w:ascii="Arial" w:hAnsi="Arial" w:cs="Arial"/>
          <w:sz w:val="24"/>
          <w:szCs w:val="24"/>
        </w:rPr>
        <w:t xml:space="preserve"> that</w:t>
      </w:r>
      <w:r w:rsidR="003E439F">
        <w:rPr>
          <w:rFonts w:ascii="Arial" w:hAnsi="Arial" w:cs="Arial"/>
          <w:sz w:val="24"/>
          <w:szCs w:val="24"/>
        </w:rPr>
        <w:t xml:space="preserve"> </w:t>
      </w:r>
      <w:r w:rsidR="008C5BE4">
        <w:rPr>
          <w:rFonts w:ascii="Arial" w:hAnsi="Arial" w:cs="Arial"/>
          <w:sz w:val="24"/>
          <w:szCs w:val="24"/>
        </w:rPr>
        <w:t xml:space="preserve">it includes </w:t>
      </w:r>
      <w:r w:rsidR="008C5BE4" w:rsidRPr="003E439F">
        <w:rPr>
          <w:rFonts w:ascii="Arial" w:hAnsi="Arial" w:cs="Arial"/>
          <w:sz w:val="24"/>
          <w:szCs w:val="24"/>
        </w:rPr>
        <w:t xml:space="preserve">deaths in anyone with laboratory confirmed </w:t>
      </w:r>
      <w:r w:rsidR="008C5BE4" w:rsidRPr="003104D4">
        <w:rPr>
          <w:rFonts w:ascii="Arial" w:hAnsi="Arial" w:cs="Arial"/>
          <w:sz w:val="24"/>
          <w:szCs w:val="24"/>
        </w:rPr>
        <w:t>COVID-19, including those who die outside of hospital settings.</w:t>
      </w:r>
      <w:r w:rsidR="008C5BE4">
        <w:rPr>
          <w:rFonts w:ascii="Arial" w:hAnsi="Arial" w:cs="Arial"/>
          <w:sz w:val="24"/>
          <w:szCs w:val="24"/>
        </w:rPr>
        <w:t xml:space="preserve"> It is a more </w:t>
      </w:r>
      <w:r w:rsidR="006C2764">
        <w:rPr>
          <w:rFonts w:ascii="Arial" w:hAnsi="Arial" w:cs="Arial"/>
          <w:sz w:val="24"/>
          <w:szCs w:val="24"/>
        </w:rPr>
        <w:t xml:space="preserve">timely and </w:t>
      </w:r>
      <w:r w:rsidR="008C5BE4">
        <w:rPr>
          <w:rFonts w:ascii="Arial" w:hAnsi="Arial" w:cs="Arial"/>
          <w:sz w:val="24"/>
          <w:szCs w:val="24"/>
        </w:rPr>
        <w:t>complete measure</w:t>
      </w:r>
      <w:r w:rsidR="008C5BE4" w:rsidRPr="003104D4">
        <w:rPr>
          <w:rFonts w:ascii="Arial" w:hAnsi="Arial" w:cs="Arial"/>
          <w:sz w:val="24"/>
          <w:szCs w:val="24"/>
        </w:rPr>
        <w:t xml:space="preserve"> </w:t>
      </w:r>
      <w:r w:rsidR="008C5BE4">
        <w:rPr>
          <w:rFonts w:ascii="Arial" w:hAnsi="Arial" w:cs="Arial"/>
          <w:sz w:val="24"/>
          <w:szCs w:val="24"/>
        </w:rPr>
        <w:t>b</w:t>
      </w:r>
      <w:r w:rsidR="002E1207">
        <w:rPr>
          <w:rFonts w:ascii="Arial" w:hAnsi="Arial" w:cs="Arial"/>
          <w:sz w:val="24"/>
          <w:szCs w:val="24"/>
        </w:rPr>
        <w:t>y combining</w:t>
      </w:r>
      <w:r w:rsidR="00960190" w:rsidRPr="003E439F">
        <w:rPr>
          <w:rFonts w:ascii="Arial" w:hAnsi="Arial" w:cs="Arial"/>
          <w:sz w:val="24"/>
          <w:szCs w:val="24"/>
        </w:rPr>
        <w:t xml:space="preserve"> information from multiple </w:t>
      </w:r>
      <w:proofErr w:type="gramStart"/>
      <w:r w:rsidR="00960190" w:rsidRPr="003E439F">
        <w:rPr>
          <w:rFonts w:ascii="Arial" w:hAnsi="Arial" w:cs="Arial"/>
          <w:sz w:val="24"/>
          <w:szCs w:val="24"/>
        </w:rPr>
        <w:t>sources</w:t>
      </w:r>
      <w:r w:rsidR="006C2764">
        <w:rPr>
          <w:rFonts w:ascii="Arial" w:hAnsi="Arial" w:cs="Arial"/>
          <w:sz w:val="24"/>
          <w:szCs w:val="24"/>
        </w:rPr>
        <w:t>.</w:t>
      </w:r>
      <w:r w:rsidR="003E439F">
        <w:rPr>
          <w:rFonts w:ascii="Arial" w:hAnsi="Arial" w:cs="Arial"/>
          <w:sz w:val="24"/>
          <w:szCs w:val="24"/>
        </w:rPr>
        <w:t>.</w:t>
      </w:r>
      <w:proofErr w:type="gramEnd"/>
      <w:r w:rsidR="003E439F">
        <w:rPr>
          <w:rFonts w:ascii="Arial" w:hAnsi="Arial" w:cs="Arial"/>
          <w:sz w:val="24"/>
          <w:szCs w:val="24"/>
        </w:rPr>
        <w:t xml:space="preserve"> The PHE data series </w:t>
      </w:r>
      <w:r w:rsidR="008C5BE4">
        <w:rPr>
          <w:rFonts w:ascii="Arial" w:hAnsi="Arial" w:cs="Arial"/>
          <w:sz w:val="24"/>
          <w:szCs w:val="24"/>
        </w:rPr>
        <w:t xml:space="preserve">also </w:t>
      </w:r>
      <w:r w:rsidR="003104D4" w:rsidRPr="003104D4">
        <w:rPr>
          <w:rFonts w:ascii="Arial" w:hAnsi="Arial" w:cs="Arial"/>
          <w:sz w:val="24"/>
          <w:szCs w:val="24"/>
        </w:rPr>
        <w:t xml:space="preserve">aligns </w:t>
      </w:r>
      <w:r w:rsidR="003E439F" w:rsidRPr="003104D4">
        <w:rPr>
          <w:rFonts w:ascii="Arial" w:hAnsi="Arial" w:cs="Arial"/>
          <w:sz w:val="24"/>
          <w:szCs w:val="24"/>
        </w:rPr>
        <w:t>England</w:t>
      </w:r>
      <w:r w:rsidR="002A52E5">
        <w:rPr>
          <w:rFonts w:ascii="Arial" w:hAnsi="Arial" w:cs="Arial"/>
          <w:sz w:val="24"/>
          <w:szCs w:val="24"/>
        </w:rPr>
        <w:t>’s</w:t>
      </w:r>
      <w:r w:rsidR="003E439F" w:rsidRPr="003104D4">
        <w:rPr>
          <w:rFonts w:ascii="Arial" w:hAnsi="Arial" w:cs="Arial"/>
          <w:sz w:val="24"/>
          <w:szCs w:val="24"/>
        </w:rPr>
        <w:t xml:space="preserve"> </w:t>
      </w:r>
      <w:r w:rsidR="003104D4" w:rsidRPr="003104D4">
        <w:rPr>
          <w:rFonts w:ascii="Arial" w:hAnsi="Arial" w:cs="Arial"/>
          <w:sz w:val="24"/>
          <w:szCs w:val="24"/>
        </w:rPr>
        <w:t xml:space="preserve">COVID-19 </w:t>
      </w:r>
      <w:r w:rsidR="003E439F" w:rsidRPr="003104D4">
        <w:rPr>
          <w:rFonts w:ascii="Arial" w:hAnsi="Arial" w:cs="Arial"/>
          <w:sz w:val="24"/>
          <w:szCs w:val="24"/>
        </w:rPr>
        <w:t>death reporting with</w:t>
      </w:r>
      <w:r w:rsidR="003104D4" w:rsidRPr="003104D4">
        <w:rPr>
          <w:rFonts w:ascii="Arial" w:hAnsi="Arial" w:cs="Arial"/>
          <w:sz w:val="24"/>
          <w:szCs w:val="24"/>
        </w:rPr>
        <w:t xml:space="preserve"> </w:t>
      </w:r>
      <w:r w:rsidR="008C5BE4">
        <w:rPr>
          <w:rFonts w:ascii="Arial" w:hAnsi="Arial" w:cs="Arial"/>
          <w:sz w:val="24"/>
          <w:szCs w:val="24"/>
        </w:rPr>
        <w:t>how deaths are reported</w:t>
      </w:r>
      <w:r w:rsidR="003104D4" w:rsidRPr="003104D4">
        <w:rPr>
          <w:rFonts w:ascii="Arial" w:hAnsi="Arial" w:cs="Arial"/>
          <w:sz w:val="24"/>
          <w:szCs w:val="24"/>
        </w:rPr>
        <w:t xml:space="preserve"> in</w:t>
      </w:r>
      <w:r w:rsidR="003E439F" w:rsidRPr="003104D4">
        <w:rPr>
          <w:rFonts w:ascii="Arial" w:hAnsi="Arial" w:cs="Arial"/>
          <w:sz w:val="24"/>
          <w:szCs w:val="24"/>
        </w:rPr>
        <w:t xml:space="preserve"> the rest of</w:t>
      </w:r>
      <w:r w:rsidR="00123843" w:rsidRPr="003104D4">
        <w:rPr>
          <w:rFonts w:ascii="Arial" w:hAnsi="Arial" w:cs="Arial"/>
          <w:sz w:val="24"/>
          <w:szCs w:val="24"/>
        </w:rPr>
        <w:t xml:space="preserve"> the UK</w:t>
      </w:r>
      <w:r w:rsidR="003104D4" w:rsidRPr="003104D4">
        <w:rPr>
          <w:rFonts w:ascii="Arial" w:hAnsi="Arial" w:cs="Arial"/>
          <w:sz w:val="24"/>
          <w:szCs w:val="24"/>
        </w:rPr>
        <w:t>.</w:t>
      </w:r>
    </w:p>
    <w:p w14:paraId="0CC373F8" w14:textId="77777777" w:rsidR="00BB4A93" w:rsidRPr="003104D4" w:rsidRDefault="00BB4A93" w:rsidP="00BB4A93">
      <w:pPr>
        <w:pStyle w:val="ListParagraph"/>
        <w:rPr>
          <w:rFonts w:ascii="Arial" w:hAnsi="Arial" w:cs="Arial"/>
          <w:sz w:val="24"/>
          <w:szCs w:val="24"/>
        </w:rPr>
      </w:pPr>
    </w:p>
    <w:p w14:paraId="1D42EE08" w14:textId="037FEE62" w:rsidR="00A4251D" w:rsidRPr="003104D4" w:rsidRDefault="00082445" w:rsidP="003104D4">
      <w:pPr>
        <w:pStyle w:val="ListParagraph"/>
        <w:numPr>
          <w:ilvl w:val="0"/>
          <w:numId w:val="21"/>
        </w:numPr>
        <w:rPr>
          <w:szCs w:val="24"/>
        </w:rPr>
      </w:pPr>
      <w:bookmarkStart w:id="2" w:name="_Hlk38893232"/>
      <w:r w:rsidRPr="003104D4">
        <w:rPr>
          <w:rFonts w:ascii="Arial" w:hAnsi="Arial" w:cs="Arial"/>
          <w:sz w:val="24"/>
          <w:szCs w:val="24"/>
        </w:rPr>
        <w:t>Death d</w:t>
      </w:r>
      <w:r w:rsidR="00BB4A93" w:rsidRPr="003104D4">
        <w:rPr>
          <w:rFonts w:ascii="Arial" w:hAnsi="Arial" w:cs="Arial"/>
          <w:sz w:val="24"/>
          <w:szCs w:val="24"/>
        </w:rPr>
        <w:t xml:space="preserve">ata are </w:t>
      </w:r>
      <w:r w:rsidRPr="003104D4">
        <w:rPr>
          <w:rFonts w:ascii="Arial" w:hAnsi="Arial" w:cs="Arial"/>
          <w:sz w:val="24"/>
          <w:szCs w:val="24"/>
        </w:rPr>
        <w:t xml:space="preserve">checked for </w:t>
      </w:r>
      <w:r w:rsidR="003104D4" w:rsidRPr="003104D4">
        <w:rPr>
          <w:rFonts w:ascii="Arial" w:hAnsi="Arial" w:cs="Arial"/>
          <w:sz w:val="24"/>
          <w:szCs w:val="24"/>
        </w:rPr>
        <w:t>errors</w:t>
      </w:r>
      <w:r w:rsidRPr="003104D4">
        <w:rPr>
          <w:rFonts w:ascii="Arial" w:hAnsi="Arial" w:cs="Arial"/>
          <w:sz w:val="24"/>
          <w:szCs w:val="24"/>
        </w:rPr>
        <w:t xml:space="preserve"> and </w:t>
      </w:r>
      <w:r w:rsidR="00BB4A93" w:rsidRPr="003104D4">
        <w:rPr>
          <w:rFonts w:ascii="Arial" w:hAnsi="Arial" w:cs="Arial"/>
          <w:sz w:val="24"/>
          <w:szCs w:val="24"/>
        </w:rPr>
        <w:t>a semi-automated</w:t>
      </w:r>
      <w:r w:rsidR="00BB4A93" w:rsidRPr="00337DB8">
        <w:rPr>
          <w:rFonts w:ascii="Arial" w:hAnsi="Arial" w:cs="Arial"/>
          <w:sz w:val="24"/>
          <w:szCs w:val="24"/>
        </w:rPr>
        <w:t xml:space="preserve"> </w:t>
      </w:r>
      <w:r w:rsidR="00337DB8" w:rsidRPr="00337DB8">
        <w:rPr>
          <w:rFonts w:ascii="Arial" w:hAnsi="Arial" w:cs="Arial"/>
          <w:sz w:val="24"/>
          <w:szCs w:val="24"/>
        </w:rPr>
        <w:t>program</w:t>
      </w:r>
      <w:r w:rsidRPr="00337DB8">
        <w:rPr>
          <w:rFonts w:ascii="Arial" w:hAnsi="Arial" w:cs="Arial"/>
          <w:sz w:val="24"/>
          <w:szCs w:val="24"/>
        </w:rPr>
        <w:t xml:space="preserve"> is run </w:t>
      </w:r>
      <w:r w:rsidR="003104D4">
        <w:rPr>
          <w:rFonts w:ascii="Arial" w:hAnsi="Arial" w:cs="Arial"/>
          <w:sz w:val="24"/>
          <w:szCs w:val="24"/>
        </w:rPr>
        <w:t xml:space="preserve">to </w:t>
      </w:r>
      <w:r w:rsidR="002E1207">
        <w:rPr>
          <w:rFonts w:ascii="Arial" w:hAnsi="Arial" w:cs="Arial"/>
          <w:sz w:val="24"/>
          <w:szCs w:val="24"/>
        </w:rPr>
        <w:t xml:space="preserve">match records and </w:t>
      </w:r>
      <w:r w:rsidR="003104D4">
        <w:rPr>
          <w:rFonts w:ascii="Arial" w:hAnsi="Arial" w:cs="Arial"/>
          <w:sz w:val="24"/>
          <w:szCs w:val="24"/>
        </w:rPr>
        <w:t>ensure</w:t>
      </w:r>
      <w:r w:rsidRPr="00337DB8">
        <w:rPr>
          <w:rFonts w:ascii="Arial" w:hAnsi="Arial" w:cs="Arial"/>
          <w:sz w:val="24"/>
          <w:szCs w:val="24"/>
        </w:rPr>
        <w:t xml:space="preserve"> </w:t>
      </w:r>
      <w:r w:rsidR="00337DB8">
        <w:rPr>
          <w:rFonts w:ascii="Arial" w:hAnsi="Arial" w:cs="Arial"/>
          <w:sz w:val="24"/>
          <w:szCs w:val="24"/>
        </w:rPr>
        <w:t>a person who died is not counted</w:t>
      </w:r>
      <w:r w:rsidR="00545A67">
        <w:rPr>
          <w:rFonts w:ascii="Arial" w:hAnsi="Arial" w:cs="Arial"/>
          <w:sz w:val="24"/>
          <w:szCs w:val="24"/>
        </w:rPr>
        <w:t xml:space="preserve"> twice</w:t>
      </w:r>
      <w:r w:rsidR="00337DB8">
        <w:rPr>
          <w:rFonts w:ascii="Arial" w:hAnsi="Arial" w:cs="Arial"/>
          <w:sz w:val="24"/>
          <w:szCs w:val="24"/>
        </w:rPr>
        <w:t xml:space="preserve"> across </w:t>
      </w:r>
      <w:r w:rsidRPr="00337DB8">
        <w:rPr>
          <w:rFonts w:ascii="Arial" w:hAnsi="Arial" w:cs="Arial"/>
          <w:sz w:val="24"/>
          <w:szCs w:val="24"/>
        </w:rPr>
        <w:t xml:space="preserve">different </w:t>
      </w:r>
      <w:r w:rsidR="00337DB8">
        <w:rPr>
          <w:rFonts w:ascii="Arial" w:hAnsi="Arial" w:cs="Arial"/>
          <w:sz w:val="24"/>
          <w:szCs w:val="24"/>
        </w:rPr>
        <w:t xml:space="preserve">reporting </w:t>
      </w:r>
      <w:r w:rsidRPr="00337DB8">
        <w:rPr>
          <w:rFonts w:ascii="Arial" w:hAnsi="Arial" w:cs="Arial"/>
          <w:sz w:val="24"/>
          <w:szCs w:val="24"/>
        </w:rPr>
        <w:t>systems</w:t>
      </w:r>
      <w:r w:rsidR="008C5BE4">
        <w:rPr>
          <w:rFonts w:ascii="Arial" w:hAnsi="Arial" w:cs="Arial"/>
          <w:sz w:val="24"/>
          <w:szCs w:val="24"/>
        </w:rPr>
        <w:t>.</w:t>
      </w:r>
    </w:p>
    <w:bookmarkEnd w:id="2"/>
    <w:p w14:paraId="6EA26DEE" w14:textId="77777777" w:rsidR="003104D4" w:rsidRPr="003104D4" w:rsidRDefault="003104D4" w:rsidP="003104D4">
      <w:pPr>
        <w:pStyle w:val="ListParagraph"/>
        <w:rPr>
          <w:szCs w:val="24"/>
        </w:rPr>
      </w:pPr>
    </w:p>
    <w:p w14:paraId="7BFE0F0C" w14:textId="4D3F2EFE" w:rsidR="00F56809" w:rsidRDefault="008C5BE4" w:rsidP="00337DB8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B6E5E" w:rsidRPr="00A23482">
        <w:rPr>
          <w:rFonts w:ascii="Arial" w:hAnsi="Arial" w:cs="Arial"/>
          <w:sz w:val="24"/>
          <w:szCs w:val="24"/>
        </w:rPr>
        <w:t>f the additional deaths</w:t>
      </w:r>
      <w:r w:rsidR="00A23482">
        <w:rPr>
          <w:rFonts w:ascii="Arial" w:hAnsi="Arial" w:cs="Arial"/>
          <w:sz w:val="24"/>
          <w:szCs w:val="24"/>
        </w:rPr>
        <w:t xml:space="preserve"> included in the PHE data series</w:t>
      </w:r>
      <w:r>
        <w:rPr>
          <w:rFonts w:ascii="Arial" w:hAnsi="Arial" w:cs="Arial"/>
          <w:sz w:val="24"/>
          <w:szCs w:val="24"/>
        </w:rPr>
        <w:t xml:space="preserve">, we estimate that just </w:t>
      </w:r>
      <w:r w:rsidR="002D59DB">
        <w:rPr>
          <w:rFonts w:ascii="Arial" w:hAnsi="Arial" w:cs="Arial"/>
          <w:sz w:val="24"/>
          <w:szCs w:val="24"/>
        </w:rPr>
        <w:t>over two-thirds</w:t>
      </w:r>
      <w:r>
        <w:rPr>
          <w:rFonts w:ascii="Arial" w:hAnsi="Arial" w:cs="Arial"/>
          <w:sz w:val="24"/>
          <w:szCs w:val="24"/>
        </w:rPr>
        <w:t xml:space="preserve"> </w:t>
      </w:r>
      <w:r w:rsidR="002D59DB" w:rsidRPr="0057046E">
        <w:rPr>
          <w:rFonts w:ascii="Arial" w:hAnsi="Arial" w:cs="Arial"/>
          <w:sz w:val="24"/>
          <w:szCs w:val="24"/>
        </w:rPr>
        <w:t>(70</w:t>
      </w:r>
      <w:r w:rsidRPr="0057046E">
        <w:rPr>
          <w:rFonts w:ascii="Arial" w:hAnsi="Arial" w:cs="Arial"/>
          <w:sz w:val="24"/>
          <w:szCs w:val="24"/>
        </w:rPr>
        <w:t>%)</w:t>
      </w:r>
      <w:r w:rsidR="003B6E5E" w:rsidRPr="0057046E">
        <w:rPr>
          <w:rFonts w:ascii="Arial" w:hAnsi="Arial" w:cs="Arial"/>
          <w:sz w:val="24"/>
          <w:szCs w:val="24"/>
        </w:rPr>
        <w:t xml:space="preserve"> </w:t>
      </w:r>
      <w:r w:rsidR="00CF6DA9" w:rsidRPr="0057046E">
        <w:rPr>
          <w:rFonts w:ascii="Arial" w:hAnsi="Arial" w:cs="Arial"/>
          <w:sz w:val="24"/>
          <w:szCs w:val="24"/>
        </w:rPr>
        <w:t>occur</w:t>
      </w:r>
      <w:r w:rsidR="00983766" w:rsidRPr="0057046E">
        <w:rPr>
          <w:rFonts w:ascii="Arial" w:hAnsi="Arial" w:cs="Arial"/>
          <w:sz w:val="24"/>
          <w:szCs w:val="24"/>
        </w:rPr>
        <w:t xml:space="preserve"> in non-hospital settings and </w:t>
      </w:r>
      <w:r w:rsidR="002D59DB" w:rsidRPr="0057046E">
        <w:rPr>
          <w:rFonts w:ascii="Arial" w:hAnsi="Arial" w:cs="Arial"/>
          <w:sz w:val="24"/>
          <w:szCs w:val="24"/>
        </w:rPr>
        <w:t>just under one-third</w:t>
      </w:r>
      <w:r w:rsidRPr="0057046E">
        <w:rPr>
          <w:rFonts w:ascii="Arial" w:hAnsi="Arial" w:cs="Arial"/>
          <w:sz w:val="24"/>
          <w:szCs w:val="24"/>
        </w:rPr>
        <w:t xml:space="preserve"> (</w:t>
      </w:r>
      <w:r w:rsidR="002D59DB" w:rsidRPr="0057046E">
        <w:rPr>
          <w:rFonts w:ascii="Arial" w:hAnsi="Arial" w:cs="Arial"/>
          <w:sz w:val="24"/>
          <w:szCs w:val="24"/>
        </w:rPr>
        <w:t>30</w:t>
      </w:r>
      <w:r w:rsidR="00983766" w:rsidRPr="0057046E">
        <w:rPr>
          <w:rFonts w:ascii="Arial" w:hAnsi="Arial" w:cs="Arial"/>
          <w:sz w:val="24"/>
          <w:szCs w:val="24"/>
        </w:rPr>
        <w:t>%</w:t>
      </w:r>
      <w:r w:rsidRPr="0057046E">
        <w:rPr>
          <w:rFonts w:ascii="Arial" w:hAnsi="Arial" w:cs="Arial"/>
          <w:sz w:val="24"/>
          <w:szCs w:val="24"/>
        </w:rPr>
        <w:t>)</w:t>
      </w:r>
      <w:r w:rsidR="00A23482" w:rsidRPr="0057046E">
        <w:rPr>
          <w:rFonts w:ascii="Arial" w:hAnsi="Arial" w:cs="Arial"/>
          <w:sz w:val="24"/>
          <w:szCs w:val="24"/>
        </w:rPr>
        <w:t xml:space="preserve"> </w:t>
      </w:r>
      <w:r w:rsidR="00CF6DA9" w:rsidRPr="0057046E">
        <w:rPr>
          <w:rFonts w:ascii="Arial" w:hAnsi="Arial" w:cs="Arial"/>
          <w:sz w:val="24"/>
          <w:szCs w:val="24"/>
        </w:rPr>
        <w:t>occur</w:t>
      </w:r>
      <w:r w:rsidR="00983766" w:rsidRPr="0057046E">
        <w:rPr>
          <w:rFonts w:ascii="Arial" w:hAnsi="Arial" w:cs="Arial"/>
          <w:sz w:val="24"/>
          <w:szCs w:val="24"/>
        </w:rPr>
        <w:t xml:space="preserve"> in</w:t>
      </w:r>
      <w:r w:rsidR="00983766" w:rsidRPr="008B0F6D">
        <w:rPr>
          <w:rFonts w:ascii="Arial" w:hAnsi="Arial" w:cs="Arial"/>
          <w:sz w:val="24"/>
          <w:szCs w:val="24"/>
        </w:rPr>
        <w:t xml:space="preserve"> </w:t>
      </w:r>
      <w:r w:rsidR="00F63563" w:rsidRPr="008B0F6D">
        <w:rPr>
          <w:rFonts w:ascii="Arial" w:hAnsi="Arial" w:cs="Arial"/>
          <w:sz w:val="24"/>
          <w:szCs w:val="24"/>
        </w:rPr>
        <w:t xml:space="preserve">hospital </w:t>
      </w:r>
      <w:r>
        <w:rPr>
          <w:rFonts w:ascii="Arial" w:hAnsi="Arial" w:cs="Arial"/>
          <w:sz w:val="24"/>
          <w:szCs w:val="24"/>
        </w:rPr>
        <w:t>but</w:t>
      </w:r>
      <w:r w:rsidR="0057046E">
        <w:rPr>
          <w:rFonts w:ascii="Arial" w:hAnsi="Arial" w:cs="Arial"/>
          <w:sz w:val="24"/>
          <w:szCs w:val="24"/>
        </w:rPr>
        <w:t xml:space="preserve"> are</w:t>
      </w:r>
      <w:r>
        <w:rPr>
          <w:rFonts w:ascii="Arial" w:hAnsi="Arial" w:cs="Arial"/>
          <w:sz w:val="24"/>
          <w:szCs w:val="24"/>
        </w:rPr>
        <w:t xml:space="preserve"> not</w:t>
      </w:r>
      <w:r w:rsidR="00082445">
        <w:rPr>
          <w:rFonts w:ascii="Arial" w:hAnsi="Arial" w:cs="Arial"/>
          <w:sz w:val="24"/>
          <w:szCs w:val="24"/>
        </w:rPr>
        <w:t xml:space="preserve"> yet reported</w:t>
      </w:r>
      <w:r w:rsidR="008807CF" w:rsidRPr="008B0F6D">
        <w:rPr>
          <w:rFonts w:ascii="Arial" w:hAnsi="Arial" w:cs="Arial"/>
          <w:sz w:val="24"/>
          <w:szCs w:val="24"/>
        </w:rPr>
        <w:t xml:space="preserve"> </w:t>
      </w:r>
      <w:r w:rsidR="00A23482">
        <w:rPr>
          <w:rFonts w:ascii="Arial" w:hAnsi="Arial" w:cs="Arial"/>
          <w:sz w:val="24"/>
          <w:szCs w:val="24"/>
        </w:rPr>
        <w:t>in</w:t>
      </w:r>
      <w:r w:rsidR="008807CF" w:rsidRPr="008B0F6D">
        <w:rPr>
          <w:rFonts w:ascii="Arial" w:hAnsi="Arial" w:cs="Arial"/>
          <w:sz w:val="24"/>
          <w:szCs w:val="24"/>
        </w:rPr>
        <w:t xml:space="preserve"> the published figures</w:t>
      </w:r>
      <w:r w:rsidR="003B6E5E" w:rsidRPr="00BB4A93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8807CF" w:rsidRPr="00BB4A93">
        <w:rPr>
          <w:rFonts w:ascii="Arial" w:hAnsi="Arial" w:cs="Arial"/>
          <w:sz w:val="24"/>
          <w:szCs w:val="24"/>
        </w:rPr>
        <w:t>.</w:t>
      </w:r>
      <w:r w:rsidR="009606A3">
        <w:rPr>
          <w:rFonts w:ascii="Arial" w:hAnsi="Arial" w:cs="Arial"/>
          <w:sz w:val="24"/>
          <w:szCs w:val="24"/>
        </w:rPr>
        <w:t xml:space="preserve"> </w:t>
      </w:r>
    </w:p>
    <w:p w14:paraId="6454A4C8" w14:textId="77777777" w:rsidR="00337DB8" w:rsidRPr="00337DB8" w:rsidRDefault="00337DB8" w:rsidP="00337DB8">
      <w:pPr>
        <w:pStyle w:val="ListParagraph"/>
        <w:rPr>
          <w:rFonts w:ascii="Arial" w:hAnsi="Arial" w:cs="Arial"/>
          <w:sz w:val="24"/>
          <w:szCs w:val="24"/>
        </w:rPr>
      </w:pPr>
    </w:p>
    <w:p w14:paraId="2BB24C8B" w14:textId="074649FC" w:rsidR="00F56809" w:rsidRDefault="00545A67" w:rsidP="00F56809">
      <w:pPr>
        <w:pStyle w:val="ListParagraph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F56809" w:rsidRPr="00F56809">
        <w:rPr>
          <w:rFonts w:ascii="Arial" w:hAnsi="Arial" w:cs="Arial"/>
          <w:sz w:val="24"/>
          <w:szCs w:val="24"/>
        </w:rPr>
        <w:t xml:space="preserve">PHE data series </w:t>
      </w:r>
      <w:r w:rsidR="00A23482">
        <w:rPr>
          <w:rFonts w:ascii="Arial" w:hAnsi="Arial" w:cs="Arial"/>
          <w:sz w:val="24"/>
          <w:szCs w:val="24"/>
        </w:rPr>
        <w:t>does</w:t>
      </w:r>
      <w:r w:rsidR="003104D4">
        <w:rPr>
          <w:rFonts w:ascii="Arial" w:hAnsi="Arial" w:cs="Arial"/>
          <w:sz w:val="24"/>
          <w:szCs w:val="24"/>
        </w:rPr>
        <w:t xml:space="preserve"> not include deaths in people where COVID-19 </w:t>
      </w:r>
      <w:r>
        <w:rPr>
          <w:rFonts w:ascii="Arial" w:hAnsi="Arial" w:cs="Arial"/>
          <w:sz w:val="24"/>
          <w:szCs w:val="24"/>
        </w:rPr>
        <w:t xml:space="preserve">was </w:t>
      </w:r>
      <w:r w:rsidR="003104D4">
        <w:rPr>
          <w:rFonts w:ascii="Arial" w:hAnsi="Arial" w:cs="Arial"/>
          <w:sz w:val="24"/>
          <w:szCs w:val="24"/>
        </w:rPr>
        <w:t xml:space="preserve">suspected but a </w:t>
      </w:r>
      <w:r w:rsidR="00A23482">
        <w:rPr>
          <w:rFonts w:ascii="Arial" w:hAnsi="Arial" w:cs="Arial"/>
          <w:sz w:val="24"/>
          <w:szCs w:val="24"/>
        </w:rPr>
        <w:t xml:space="preserve">laboratory </w:t>
      </w:r>
      <w:r w:rsidR="003104D4">
        <w:rPr>
          <w:rFonts w:ascii="Arial" w:hAnsi="Arial" w:cs="Arial"/>
          <w:sz w:val="24"/>
          <w:szCs w:val="24"/>
        </w:rPr>
        <w:t xml:space="preserve">test was not carried out or was negative. </w:t>
      </w:r>
      <w:r w:rsidR="00A23482">
        <w:rPr>
          <w:rFonts w:ascii="Arial" w:hAnsi="Arial" w:cs="Arial"/>
          <w:sz w:val="24"/>
          <w:szCs w:val="24"/>
        </w:rPr>
        <w:t xml:space="preserve">Furthermore, the PHE data series does not </w:t>
      </w:r>
      <w:r w:rsidR="002E1207">
        <w:rPr>
          <w:rFonts w:ascii="Arial" w:hAnsi="Arial" w:cs="Arial"/>
          <w:sz w:val="24"/>
          <w:szCs w:val="24"/>
        </w:rPr>
        <w:t>report</w:t>
      </w:r>
      <w:r w:rsidR="00A23482">
        <w:rPr>
          <w:rFonts w:ascii="Arial" w:hAnsi="Arial" w:cs="Arial"/>
          <w:sz w:val="24"/>
          <w:szCs w:val="24"/>
        </w:rPr>
        <w:t xml:space="preserve"> cause of death, and as such </w:t>
      </w:r>
      <w:r w:rsidR="002E1207">
        <w:rPr>
          <w:rFonts w:ascii="Arial" w:hAnsi="Arial" w:cs="Arial"/>
          <w:sz w:val="24"/>
          <w:szCs w:val="24"/>
        </w:rPr>
        <w:t>represents</w:t>
      </w:r>
      <w:r w:rsidR="00A23482">
        <w:rPr>
          <w:rFonts w:ascii="Arial" w:hAnsi="Arial" w:cs="Arial"/>
          <w:sz w:val="24"/>
          <w:szCs w:val="24"/>
        </w:rPr>
        <w:t xml:space="preserve"> </w:t>
      </w:r>
      <w:r w:rsidR="00A23482" w:rsidRPr="00A23482">
        <w:rPr>
          <w:rFonts w:ascii="Arial" w:hAnsi="Arial" w:cs="Arial"/>
          <w:i/>
          <w:sz w:val="24"/>
          <w:szCs w:val="24"/>
        </w:rPr>
        <w:t>deaths in people with COVID-19</w:t>
      </w:r>
      <w:r w:rsidR="00A23482">
        <w:rPr>
          <w:rFonts w:ascii="Arial" w:hAnsi="Arial" w:cs="Arial"/>
          <w:sz w:val="24"/>
          <w:szCs w:val="24"/>
        </w:rPr>
        <w:t xml:space="preserve"> </w:t>
      </w:r>
      <w:r w:rsidR="002E1207">
        <w:rPr>
          <w:rFonts w:ascii="Arial" w:hAnsi="Arial" w:cs="Arial"/>
          <w:sz w:val="24"/>
          <w:szCs w:val="24"/>
        </w:rPr>
        <w:t>and not</w:t>
      </w:r>
      <w:r w:rsidR="00A23482">
        <w:rPr>
          <w:rFonts w:ascii="Arial" w:hAnsi="Arial" w:cs="Arial"/>
          <w:sz w:val="24"/>
          <w:szCs w:val="24"/>
        </w:rPr>
        <w:t xml:space="preserve"> </w:t>
      </w:r>
      <w:r w:rsidR="002E1207">
        <w:rPr>
          <w:rFonts w:ascii="Arial" w:hAnsi="Arial" w:cs="Arial"/>
          <w:sz w:val="24"/>
          <w:szCs w:val="24"/>
        </w:rPr>
        <w:t>necessarily</w:t>
      </w:r>
      <w:r w:rsidR="00A23482">
        <w:rPr>
          <w:rFonts w:ascii="Arial" w:hAnsi="Arial" w:cs="Arial"/>
          <w:sz w:val="24"/>
          <w:szCs w:val="24"/>
        </w:rPr>
        <w:t xml:space="preserve"> </w:t>
      </w:r>
      <w:r w:rsidR="002E1207">
        <w:rPr>
          <w:rFonts w:ascii="Arial" w:hAnsi="Arial" w:cs="Arial"/>
          <w:sz w:val="24"/>
          <w:szCs w:val="24"/>
        </w:rPr>
        <w:t>due to</w:t>
      </w:r>
      <w:r w:rsidR="00A23482">
        <w:rPr>
          <w:rFonts w:ascii="Arial" w:hAnsi="Arial" w:cs="Arial"/>
          <w:sz w:val="24"/>
          <w:szCs w:val="24"/>
        </w:rPr>
        <w:t xml:space="preserve"> COVID-19. </w:t>
      </w:r>
      <w:r w:rsidR="003104D4">
        <w:rPr>
          <w:rFonts w:ascii="Arial" w:hAnsi="Arial" w:cs="Arial"/>
          <w:sz w:val="24"/>
          <w:szCs w:val="24"/>
        </w:rPr>
        <w:t xml:space="preserve">The </w:t>
      </w:r>
      <w:r w:rsidR="00F56809" w:rsidRPr="00F56809">
        <w:rPr>
          <w:rFonts w:ascii="Arial" w:hAnsi="Arial" w:cs="Arial"/>
          <w:sz w:val="24"/>
          <w:szCs w:val="24"/>
        </w:rPr>
        <w:t xml:space="preserve">weekly </w:t>
      </w:r>
      <w:r w:rsidR="002E1207" w:rsidRPr="00AD1290">
        <w:rPr>
          <w:rFonts w:ascii="Arial" w:hAnsi="Arial" w:cs="Arial"/>
          <w:sz w:val="24"/>
          <w:szCs w:val="24"/>
        </w:rPr>
        <w:t xml:space="preserve">counts of deaths </w:t>
      </w:r>
      <w:r w:rsidR="00F56809" w:rsidRPr="00F56809">
        <w:rPr>
          <w:rFonts w:ascii="Arial" w:hAnsi="Arial" w:cs="Arial"/>
          <w:sz w:val="24"/>
          <w:szCs w:val="24"/>
        </w:rPr>
        <w:t>from ONS</w:t>
      </w:r>
      <w:r w:rsidR="00983766">
        <w:rPr>
          <w:rFonts w:ascii="Arial" w:hAnsi="Arial" w:cs="Arial"/>
          <w:sz w:val="24"/>
          <w:szCs w:val="24"/>
        </w:rPr>
        <w:t xml:space="preserve"> include</w:t>
      </w:r>
      <w:r w:rsidR="002E1207">
        <w:rPr>
          <w:rFonts w:ascii="Arial" w:hAnsi="Arial" w:cs="Arial"/>
          <w:sz w:val="24"/>
          <w:szCs w:val="24"/>
        </w:rPr>
        <w:t>s</w:t>
      </w:r>
      <w:r w:rsidR="00983766">
        <w:rPr>
          <w:rFonts w:ascii="Arial" w:hAnsi="Arial" w:cs="Arial"/>
          <w:sz w:val="24"/>
          <w:szCs w:val="24"/>
        </w:rPr>
        <w:t xml:space="preserve"> </w:t>
      </w:r>
      <w:r w:rsidR="00A23482">
        <w:rPr>
          <w:rFonts w:ascii="Arial" w:hAnsi="Arial" w:cs="Arial"/>
          <w:sz w:val="24"/>
          <w:szCs w:val="24"/>
        </w:rPr>
        <w:t>all</w:t>
      </w:r>
      <w:r w:rsidR="003104D4">
        <w:rPr>
          <w:rFonts w:ascii="Arial" w:hAnsi="Arial" w:cs="Arial"/>
          <w:sz w:val="24"/>
          <w:szCs w:val="24"/>
        </w:rPr>
        <w:t xml:space="preserve"> death</w:t>
      </w:r>
      <w:r w:rsidR="00A23482">
        <w:rPr>
          <w:rFonts w:ascii="Arial" w:hAnsi="Arial" w:cs="Arial"/>
          <w:sz w:val="24"/>
          <w:szCs w:val="24"/>
        </w:rPr>
        <w:t xml:space="preserve">s where COVID-19 is </w:t>
      </w:r>
      <w:r>
        <w:rPr>
          <w:rFonts w:ascii="Arial" w:hAnsi="Arial" w:cs="Arial"/>
          <w:sz w:val="24"/>
          <w:szCs w:val="24"/>
        </w:rPr>
        <w:t>re</w:t>
      </w:r>
      <w:r w:rsidR="006C2764">
        <w:rPr>
          <w:rFonts w:ascii="Arial" w:hAnsi="Arial" w:cs="Arial"/>
          <w:sz w:val="24"/>
          <w:szCs w:val="24"/>
        </w:rPr>
        <w:t xml:space="preserve">corded </w:t>
      </w:r>
      <w:r w:rsidR="00A23482">
        <w:rPr>
          <w:rFonts w:ascii="Arial" w:hAnsi="Arial" w:cs="Arial"/>
          <w:sz w:val="24"/>
          <w:szCs w:val="24"/>
        </w:rPr>
        <w:t>on the death certificate</w:t>
      </w:r>
      <w:r w:rsidR="003104D4">
        <w:rPr>
          <w:rFonts w:ascii="Arial" w:hAnsi="Arial" w:cs="Arial"/>
          <w:sz w:val="24"/>
          <w:szCs w:val="24"/>
        </w:rPr>
        <w:t>.</w:t>
      </w:r>
    </w:p>
    <w:p w14:paraId="2E910311" w14:textId="77777777" w:rsidR="00835B91" w:rsidRDefault="00835B91" w:rsidP="00835B91">
      <w:pPr>
        <w:pStyle w:val="ListParagraph"/>
        <w:rPr>
          <w:rFonts w:ascii="Arial" w:hAnsi="Arial" w:cs="Arial"/>
          <w:sz w:val="24"/>
          <w:szCs w:val="24"/>
        </w:rPr>
      </w:pPr>
    </w:p>
    <w:p w14:paraId="268BD7BA" w14:textId="77777777" w:rsidR="00F005A5" w:rsidRPr="00F005A5" w:rsidRDefault="00F005A5" w:rsidP="00F005A5">
      <w:pPr>
        <w:ind w:left="360"/>
        <w:rPr>
          <w:szCs w:val="24"/>
        </w:rPr>
      </w:pPr>
    </w:p>
    <w:p w14:paraId="14E9956D" w14:textId="39DB495B" w:rsidR="000D0667" w:rsidRPr="00040C25" w:rsidRDefault="000D0667" w:rsidP="00C215E9">
      <w:pPr>
        <w:pStyle w:val="Style1"/>
        <w:rPr>
          <w:rStyle w:val="PHEFrontpagemaintitle"/>
        </w:rPr>
      </w:pPr>
      <w:bookmarkStart w:id="3" w:name="_Toc38900582"/>
      <w:r w:rsidRPr="00040C25">
        <w:rPr>
          <w:rStyle w:val="PHEFrontpagemaintitle"/>
        </w:rPr>
        <w:lastRenderedPageBreak/>
        <w:t>Background</w:t>
      </w:r>
      <w:bookmarkEnd w:id="3"/>
    </w:p>
    <w:p w14:paraId="22A993C7" w14:textId="5E96EC2B" w:rsidR="000D0667" w:rsidRDefault="000D0667" w:rsidP="00176D04"/>
    <w:p w14:paraId="40F1F6E7" w14:textId="5E5C7DC8" w:rsidR="002E5753" w:rsidRDefault="007633A2" w:rsidP="003D322F">
      <w:r>
        <w:rPr>
          <w:szCs w:val="24"/>
        </w:rPr>
        <w:t xml:space="preserve">Monitoring the number of deaths due to </w:t>
      </w:r>
      <w:r w:rsidRPr="00A4251D">
        <w:rPr>
          <w:szCs w:val="24"/>
        </w:rPr>
        <w:t xml:space="preserve">COVID-19 </w:t>
      </w:r>
      <w:r>
        <w:rPr>
          <w:szCs w:val="24"/>
        </w:rPr>
        <w:t>is</w:t>
      </w:r>
      <w:r w:rsidRPr="00A4251D">
        <w:rPr>
          <w:szCs w:val="24"/>
        </w:rPr>
        <w:t xml:space="preserve"> a vital</w:t>
      </w:r>
      <w:r>
        <w:rPr>
          <w:szCs w:val="24"/>
        </w:rPr>
        <w:t xml:space="preserve"> part of </w:t>
      </w:r>
      <w:r w:rsidRPr="00A4251D">
        <w:rPr>
          <w:szCs w:val="24"/>
        </w:rPr>
        <w:t xml:space="preserve">tracking </w:t>
      </w:r>
      <w:r>
        <w:rPr>
          <w:szCs w:val="24"/>
        </w:rPr>
        <w:t xml:space="preserve">the </w:t>
      </w:r>
      <w:r w:rsidR="00415D07">
        <w:rPr>
          <w:szCs w:val="24"/>
        </w:rPr>
        <w:t>pandemic</w:t>
      </w:r>
      <w:r w:rsidRPr="00A4251D">
        <w:rPr>
          <w:szCs w:val="24"/>
        </w:rPr>
        <w:t xml:space="preserve">. </w:t>
      </w:r>
      <w:r w:rsidR="002E5753">
        <w:t>It is critical to ensure death data are as</w:t>
      </w:r>
      <w:r w:rsidR="00460D68">
        <w:t xml:space="preserve"> </w:t>
      </w:r>
      <w:r w:rsidR="00100BC1">
        <w:t xml:space="preserve">accurate, </w:t>
      </w:r>
      <w:r w:rsidR="00460D68">
        <w:t xml:space="preserve">comprehensive and timely </w:t>
      </w:r>
      <w:r w:rsidR="002E5753">
        <w:t>as possible.</w:t>
      </w:r>
    </w:p>
    <w:p w14:paraId="334DF245" w14:textId="77777777" w:rsidR="002E5753" w:rsidRDefault="002E5753" w:rsidP="003D322F"/>
    <w:p w14:paraId="1403B3E0" w14:textId="4C1F4499" w:rsidR="008C5BE4" w:rsidRDefault="002E1207" w:rsidP="003D322F">
      <w:r>
        <w:t xml:space="preserve">Since </w:t>
      </w:r>
      <w:r w:rsidR="00542FD9">
        <w:t>5</w:t>
      </w:r>
      <w:r w:rsidR="00545A67">
        <w:t xml:space="preserve"> </w:t>
      </w:r>
      <w:r>
        <w:t>March 2020</w:t>
      </w:r>
      <w:r w:rsidR="00176D04">
        <w:t>, NHS</w:t>
      </w:r>
      <w:r w:rsidR="002C48A6">
        <w:t xml:space="preserve"> </w:t>
      </w:r>
      <w:r w:rsidR="00176D04">
        <w:t>E</w:t>
      </w:r>
      <w:r>
        <w:t xml:space="preserve">ngland </w:t>
      </w:r>
      <w:r w:rsidR="00176D04">
        <w:t>have reported</w:t>
      </w:r>
      <w:r w:rsidR="00F169BB">
        <w:t xml:space="preserve"> a daily count of</w:t>
      </w:r>
      <w:r w:rsidR="008874A7">
        <w:t xml:space="preserve"> confirmed </w:t>
      </w:r>
      <w:r w:rsidR="00176D04">
        <w:t>COVID-19 deaths</w:t>
      </w:r>
      <w:r w:rsidR="008C5BE4">
        <w:t xml:space="preserve"> occurring in hospitals</w:t>
      </w:r>
      <w:r w:rsidR="00176D04">
        <w:t xml:space="preserve"> in England.</w:t>
      </w:r>
      <w:r w:rsidR="009606A3">
        <w:t xml:space="preserve"> </w:t>
      </w:r>
      <w:r w:rsidR="00F169BB">
        <w:t xml:space="preserve">More recently, </w:t>
      </w:r>
      <w:r w:rsidR="008C5BE4">
        <w:t>P</w:t>
      </w:r>
      <w:r w:rsidR="008C5BE4" w:rsidRPr="008C5BE4">
        <w:t>ublic Health England (PHE) has developed a method</w:t>
      </w:r>
      <w:r w:rsidR="006C2764">
        <w:t xml:space="preserve">ology </w:t>
      </w:r>
      <w:r w:rsidR="008C5BE4" w:rsidRPr="008C5BE4">
        <w:t xml:space="preserve">that links data from three sources to provide </w:t>
      </w:r>
      <w:r w:rsidR="00F169BB">
        <w:t xml:space="preserve">broader </w:t>
      </w:r>
      <w:r w:rsidR="00545A67">
        <w:t>coverage</w:t>
      </w:r>
      <w:r w:rsidR="00F169BB">
        <w:t xml:space="preserve"> of deaths</w:t>
      </w:r>
      <w:r w:rsidR="008C5BE4" w:rsidRPr="008C5BE4">
        <w:t xml:space="preserve"> </w:t>
      </w:r>
      <w:r w:rsidR="00545A67">
        <w:t>among people</w:t>
      </w:r>
      <w:r w:rsidR="008C5BE4" w:rsidRPr="008C5BE4">
        <w:t xml:space="preserve"> with a confirmed</w:t>
      </w:r>
      <w:r w:rsidR="00F169BB">
        <w:t xml:space="preserve"> COVID-19</w:t>
      </w:r>
      <w:r w:rsidR="008C5BE4" w:rsidRPr="008C5BE4">
        <w:t xml:space="preserve"> lab</w:t>
      </w:r>
      <w:r w:rsidR="00F169BB">
        <w:t>oratory</w:t>
      </w:r>
      <w:r w:rsidR="008C5BE4" w:rsidRPr="008C5BE4">
        <w:t xml:space="preserve"> test, </w:t>
      </w:r>
      <w:r w:rsidR="00545A67">
        <w:t xml:space="preserve">whether they occurred </w:t>
      </w:r>
      <w:r w:rsidR="008C5BE4" w:rsidRPr="008C5BE4">
        <w:t xml:space="preserve">in hospitals, care homes </w:t>
      </w:r>
      <w:r w:rsidR="00545A67">
        <w:t>or</w:t>
      </w:r>
      <w:r w:rsidR="008C5BE4" w:rsidRPr="008C5BE4">
        <w:t xml:space="preserve"> the wider community.</w:t>
      </w:r>
    </w:p>
    <w:p w14:paraId="3B20D125" w14:textId="27EC60A1" w:rsidR="00395CBD" w:rsidRDefault="00395CBD" w:rsidP="00176D04"/>
    <w:p w14:paraId="6206D6DD" w14:textId="2AEDB1C2" w:rsidR="000D0667" w:rsidRPr="00040C25" w:rsidRDefault="000D0667" w:rsidP="00C215E9">
      <w:pPr>
        <w:pStyle w:val="Style1"/>
        <w:rPr>
          <w:rStyle w:val="PHEFrontpagemaintitle"/>
        </w:rPr>
      </w:pPr>
      <w:bookmarkStart w:id="4" w:name="_Toc38900583"/>
      <w:r w:rsidRPr="00040C25">
        <w:rPr>
          <w:rStyle w:val="PHEFrontpagemaintitle"/>
        </w:rPr>
        <w:t>Aims</w:t>
      </w:r>
      <w:bookmarkEnd w:id="4"/>
    </w:p>
    <w:p w14:paraId="73772707" w14:textId="77777777" w:rsidR="00BA329C" w:rsidRPr="00BA329C" w:rsidRDefault="00BA329C" w:rsidP="00BA329C"/>
    <w:p w14:paraId="0ED6DBFA" w14:textId="25EC5048" w:rsidR="00176D04" w:rsidRPr="00A30761" w:rsidRDefault="00176D04" w:rsidP="00176D04">
      <w:pPr>
        <w:rPr>
          <w:rStyle w:val="PHEFrontpagemaintitle"/>
          <w:color w:val="auto"/>
          <w:sz w:val="24"/>
          <w:szCs w:val="24"/>
        </w:rPr>
      </w:pPr>
      <w:r w:rsidRPr="00A30761">
        <w:rPr>
          <w:rStyle w:val="PHEFrontpagemaintitle"/>
          <w:color w:val="auto"/>
          <w:sz w:val="24"/>
          <w:szCs w:val="24"/>
        </w:rPr>
        <w:t xml:space="preserve">This paper </w:t>
      </w:r>
      <w:r w:rsidR="00FF3797">
        <w:rPr>
          <w:rStyle w:val="PHEFrontpagemaintitle"/>
          <w:color w:val="auto"/>
          <w:sz w:val="24"/>
          <w:szCs w:val="24"/>
        </w:rPr>
        <w:t>explains why the process for reporting deaths is changing and des</w:t>
      </w:r>
      <w:r w:rsidR="00E74263">
        <w:rPr>
          <w:rStyle w:val="PHEFrontpagemaintitle"/>
          <w:color w:val="auto"/>
          <w:sz w:val="24"/>
          <w:szCs w:val="24"/>
        </w:rPr>
        <w:t xml:space="preserve">cribes the </w:t>
      </w:r>
      <w:r w:rsidR="00A30761" w:rsidRPr="00A30761">
        <w:rPr>
          <w:rStyle w:val="PHEFrontpagemaintitle"/>
          <w:color w:val="auto"/>
          <w:sz w:val="24"/>
          <w:szCs w:val="24"/>
        </w:rPr>
        <w:t xml:space="preserve">advantages </w:t>
      </w:r>
      <w:r w:rsidR="00F169BB">
        <w:rPr>
          <w:rStyle w:val="PHEFrontpagemaintitle"/>
          <w:color w:val="auto"/>
          <w:sz w:val="24"/>
          <w:szCs w:val="24"/>
        </w:rPr>
        <w:t>and limitation</w:t>
      </w:r>
      <w:r w:rsidR="00DA0E9F">
        <w:rPr>
          <w:rStyle w:val="PHEFrontpagemaintitle"/>
          <w:color w:val="auto"/>
          <w:sz w:val="24"/>
          <w:szCs w:val="24"/>
        </w:rPr>
        <w:t>s</w:t>
      </w:r>
      <w:r w:rsidR="00F169BB">
        <w:rPr>
          <w:rStyle w:val="PHEFrontpagemaintitle"/>
          <w:color w:val="auto"/>
          <w:sz w:val="24"/>
          <w:szCs w:val="24"/>
        </w:rPr>
        <w:t xml:space="preserve"> </w:t>
      </w:r>
      <w:r w:rsidR="00A30761" w:rsidRPr="00A30761">
        <w:rPr>
          <w:rStyle w:val="PHEFrontpagemaintitle"/>
          <w:color w:val="auto"/>
          <w:sz w:val="24"/>
          <w:szCs w:val="24"/>
        </w:rPr>
        <w:t xml:space="preserve">of the </w:t>
      </w:r>
      <w:r w:rsidR="0072575F">
        <w:rPr>
          <w:rStyle w:val="PHEFrontpagemaintitle"/>
          <w:color w:val="auto"/>
          <w:sz w:val="24"/>
          <w:szCs w:val="24"/>
        </w:rPr>
        <w:t>new</w:t>
      </w:r>
      <w:r w:rsidR="00A30761" w:rsidRPr="00A30761">
        <w:rPr>
          <w:rStyle w:val="PHEFrontpagemaintitle"/>
          <w:color w:val="auto"/>
          <w:sz w:val="24"/>
          <w:szCs w:val="24"/>
        </w:rPr>
        <w:t xml:space="preserve"> reporting method. It </w:t>
      </w:r>
      <w:r w:rsidR="006C2764">
        <w:rPr>
          <w:rStyle w:val="PHEFrontpagemaintitle"/>
          <w:color w:val="auto"/>
          <w:sz w:val="24"/>
          <w:szCs w:val="24"/>
        </w:rPr>
        <w:t xml:space="preserve">provides </w:t>
      </w:r>
      <w:r w:rsidR="00FF3797">
        <w:rPr>
          <w:rStyle w:val="PHEFrontpagemaintitle"/>
          <w:color w:val="auto"/>
          <w:sz w:val="24"/>
          <w:szCs w:val="24"/>
        </w:rPr>
        <w:t xml:space="preserve">an explanation of </w:t>
      </w:r>
      <w:r w:rsidR="00A30761" w:rsidRPr="00A30761">
        <w:rPr>
          <w:rStyle w:val="PHEFrontpagemaintitle"/>
          <w:color w:val="auto"/>
          <w:sz w:val="24"/>
          <w:szCs w:val="24"/>
        </w:rPr>
        <w:t xml:space="preserve">how to interpret the </w:t>
      </w:r>
      <w:r w:rsidR="009F5A6B">
        <w:rPr>
          <w:rStyle w:val="PHEFrontpagemaintitle"/>
          <w:color w:val="auto"/>
          <w:sz w:val="24"/>
          <w:szCs w:val="24"/>
        </w:rPr>
        <w:t xml:space="preserve">PHE </w:t>
      </w:r>
      <w:r w:rsidR="00F169BB">
        <w:rPr>
          <w:rStyle w:val="PHEFrontpagemaintitle"/>
          <w:color w:val="auto"/>
          <w:sz w:val="24"/>
          <w:szCs w:val="24"/>
        </w:rPr>
        <w:t xml:space="preserve">COVID-19 death </w:t>
      </w:r>
      <w:r w:rsidR="009F5A6B">
        <w:rPr>
          <w:rStyle w:val="PHEFrontpagemaintitle"/>
          <w:color w:val="auto"/>
          <w:sz w:val="24"/>
          <w:szCs w:val="24"/>
        </w:rPr>
        <w:t>data series</w:t>
      </w:r>
      <w:r w:rsidR="00A30761" w:rsidRPr="00A30761">
        <w:rPr>
          <w:rStyle w:val="PHEFrontpagemaintitle"/>
          <w:color w:val="auto"/>
          <w:sz w:val="24"/>
          <w:szCs w:val="24"/>
        </w:rPr>
        <w:t xml:space="preserve"> and </w:t>
      </w:r>
      <w:r w:rsidR="00FF3797">
        <w:rPr>
          <w:rStyle w:val="PHEFrontpagemaintitle"/>
          <w:color w:val="auto"/>
          <w:sz w:val="24"/>
          <w:szCs w:val="24"/>
        </w:rPr>
        <w:t xml:space="preserve">sets out answers to </w:t>
      </w:r>
      <w:r w:rsidRPr="00A30761">
        <w:rPr>
          <w:rStyle w:val="PHEFrontpagemaintitle"/>
          <w:color w:val="auto"/>
          <w:sz w:val="24"/>
          <w:szCs w:val="24"/>
        </w:rPr>
        <w:t>frequently asked questions.</w:t>
      </w:r>
    </w:p>
    <w:p w14:paraId="0B61C2E4" w14:textId="77777777" w:rsidR="00176D04" w:rsidRDefault="00176D04" w:rsidP="00176D04">
      <w:pPr>
        <w:rPr>
          <w:rStyle w:val="PHEFrontpagemaintitle"/>
        </w:rPr>
      </w:pPr>
    </w:p>
    <w:p w14:paraId="179B9421" w14:textId="11E43D9B" w:rsidR="000D0667" w:rsidRPr="00040C25" w:rsidRDefault="000D0667" w:rsidP="00C215E9">
      <w:pPr>
        <w:pStyle w:val="Style1"/>
        <w:rPr>
          <w:rStyle w:val="PHEFrontpagemaintitle"/>
        </w:rPr>
      </w:pPr>
      <w:bookmarkStart w:id="5" w:name="_Toc38900584"/>
      <w:r w:rsidRPr="00040C25">
        <w:rPr>
          <w:rStyle w:val="PHEFrontpagemaintitle"/>
        </w:rPr>
        <w:t xml:space="preserve">Outline of </w:t>
      </w:r>
      <w:r w:rsidR="009F5A6B">
        <w:rPr>
          <w:rStyle w:val="PHEFrontpagemaintitle"/>
        </w:rPr>
        <w:t>PHE data series</w:t>
      </w:r>
      <w:bookmarkEnd w:id="5"/>
    </w:p>
    <w:p w14:paraId="40A9F2C1" w14:textId="1064713A" w:rsidR="0084025F" w:rsidRPr="00C215E9" w:rsidRDefault="00D87B91" w:rsidP="00C215E9">
      <w:pPr>
        <w:pStyle w:val="Style2"/>
      </w:pPr>
      <w:bookmarkStart w:id="6" w:name="_Toc38900585"/>
      <w:r w:rsidRPr="00C215E9">
        <w:t xml:space="preserve">4.1 </w:t>
      </w:r>
      <w:r w:rsidR="0084025F" w:rsidRPr="00C215E9">
        <w:t>Definition of COVID-19 related deaths</w:t>
      </w:r>
      <w:bookmarkEnd w:id="6"/>
    </w:p>
    <w:p w14:paraId="1DC1F510" w14:textId="753B8DC3" w:rsidR="0084025F" w:rsidRPr="0084025F" w:rsidRDefault="00895DAE" w:rsidP="003D322F">
      <w:r>
        <w:t>All d</w:t>
      </w:r>
      <w:r w:rsidR="0084025F" w:rsidRPr="0084025F">
        <w:t xml:space="preserve">eaths </w:t>
      </w:r>
      <w:r>
        <w:t xml:space="preserve">reported to Public Heath England </w:t>
      </w:r>
      <w:r w:rsidR="0037367F">
        <w:t xml:space="preserve">that </w:t>
      </w:r>
      <w:r>
        <w:t xml:space="preserve">have a laboratory confirmed report of </w:t>
      </w:r>
      <w:r w:rsidR="0084025F" w:rsidRPr="0084025F">
        <w:t xml:space="preserve">COVID-19 (including at </w:t>
      </w:r>
      <w:r w:rsidR="00E613CA">
        <w:t>post-</w:t>
      </w:r>
      <w:r w:rsidR="0084025F" w:rsidRPr="0084025F">
        <w:t>mortem)</w:t>
      </w:r>
      <w:r w:rsidR="00F169BB">
        <w:t>, in any setting</w:t>
      </w:r>
      <w:r>
        <w:t>.</w:t>
      </w:r>
      <w:r w:rsidR="00E613CA">
        <w:t xml:space="preserve"> </w:t>
      </w:r>
      <w:r>
        <w:t xml:space="preserve">The daily number </w:t>
      </w:r>
      <w:bookmarkStart w:id="7" w:name="_Hlk38817335"/>
      <w:r>
        <w:t xml:space="preserve">represents new deaths </w:t>
      </w:r>
      <w:r w:rsidR="00AC3992">
        <w:t xml:space="preserve">reported </w:t>
      </w:r>
      <w:r w:rsidR="003A7B68">
        <w:t xml:space="preserve">to PHE </w:t>
      </w:r>
      <w:r>
        <w:t xml:space="preserve">in the 24 hours </w:t>
      </w:r>
      <w:r w:rsidR="00CF6DA9">
        <w:t>up to</w:t>
      </w:r>
      <w:r>
        <w:t xml:space="preserve"> 5pm the previous day</w:t>
      </w:r>
      <w:bookmarkEnd w:id="7"/>
      <w:r>
        <w:t xml:space="preserve">. </w:t>
      </w:r>
      <w:r w:rsidR="00DA0E9F">
        <w:t>Report date does</w:t>
      </w:r>
      <w:r w:rsidR="00F169BB">
        <w:t xml:space="preserve"> not necessarily equate to </w:t>
      </w:r>
      <w:r w:rsidR="00FF3797">
        <w:t xml:space="preserve">date of death as it </w:t>
      </w:r>
      <w:r w:rsidR="00F169BB">
        <w:t>may</w:t>
      </w:r>
      <w:r w:rsidR="00FF3797">
        <w:t xml:space="preserve"> take </w:t>
      </w:r>
      <w:r w:rsidR="00F169BB">
        <w:t>up to a week</w:t>
      </w:r>
      <w:r w:rsidR="00FF3797">
        <w:t xml:space="preserve"> for </w:t>
      </w:r>
      <w:r w:rsidR="002E1207">
        <w:t>deaths to be reported to</w:t>
      </w:r>
      <w:r w:rsidR="00FF3797">
        <w:t xml:space="preserve"> PHE.</w:t>
      </w:r>
    </w:p>
    <w:p w14:paraId="43F08F40" w14:textId="785874EA" w:rsidR="00176D04" w:rsidRDefault="000D0667" w:rsidP="00C215E9">
      <w:pPr>
        <w:pStyle w:val="Style2"/>
      </w:pPr>
      <w:bookmarkStart w:id="8" w:name="_Toc38900586"/>
      <w:r>
        <w:t xml:space="preserve">4.2 </w:t>
      </w:r>
      <w:r w:rsidR="00895DAE">
        <w:rPr>
          <w:lang w:val="en-GB"/>
        </w:rPr>
        <w:t xml:space="preserve">Data sources and </w:t>
      </w:r>
      <w:r w:rsidR="00C215E9">
        <w:rPr>
          <w:lang w:val="en-GB"/>
        </w:rPr>
        <w:t>process</w:t>
      </w:r>
      <w:r w:rsidR="00895DAE">
        <w:rPr>
          <w:lang w:val="en-GB"/>
        </w:rPr>
        <w:t>ing</w:t>
      </w:r>
      <w:bookmarkEnd w:id="8"/>
    </w:p>
    <w:p w14:paraId="26208606" w14:textId="747AFA2B" w:rsidR="00A5510D" w:rsidRDefault="00176D04" w:rsidP="006F4B0D">
      <w:r>
        <w:t>Public Health England receiv</w:t>
      </w:r>
      <w:r w:rsidR="0084025F">
        <w:t>e</w:t>
      </w:r>
      <w:r w:rsidR="00112326">
        <w:t>s</w:t>
      </w:r>
      <w:r w:rsidR="0084025F">
        <w:t xml:space="preserve"> reports of death from </w:t>
      </w:r>
      <w:r w:rsidR="002E5753">
        <w:t>three</w:t>
      </w:r>
      <w:r w:rsidR="0084025F">
        <w:t xml:space="preserve"> sources</w:t>
      </w:r>
      <w:r w:rsidR="00D728FD">
        <w:t>:</w:t>
      </w:r>
    </w:p>
    <w:p w14:paraId="6A8CC1DE" w14:textId="77777777" w:rsidR="00D728FD" w:rsidRDefault="00D728FD" w:rsidP="006F4B0D"/>
    <w:p w14:paraId="50FA4E0C" w14:textId="04EFFB95" w:rsidR="00A5510D" w:rsidRPr="0072575F" w:rsidRDefault="00545A67" w:rsidP="000054D2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Deaths</w:t>
      </w:r>
      <w:r w:rsidR="00BE756D" w:rsidRPr="0072575F">
        <w:rPr>
          <w:rFonts w:ascii="Arial" w:hAnsi="Arial" w:cs="Arial"/>
          <w:sz w:val="24"/>
          <w:szCs w:val="24"/>
        </w:rPr>
        <w:t xml:space="preserve"> </w:t>
      </w:r>
      <w:r w:rsidR="00112326">
        <w:rPr>
          <w:rFonts w:ascii="Arial" w:hAnsi="Arial" w:cs="Arial"/>
          <w:sz w:val="24"/>
          <w:szCs w:val="24"/>
        </w:rPr>
        <w:t xml:space="preserve">occurring in </w:t>
      </w:r>
      <w:r w:rsidR="00E613CA">
        <w:rPr>
          <w:rFonts w:ascii="Arial" w:hAnsi="Arial" w:cs="Arial"/>
          <w:sz w:val="24"/>
          <w:szCs w:val="24"/>
        </w:rPr>
        <w:t xml:space="preserve">hospitals, </w:t>
      </w:r>
      <w:r>
        <w:rPr>
          <w:rFonts w:ascii="Arial" w:hAnsi="Arial" w:cs="Arial"/>
          <w:sz w:val="24"/>
          <w:szCs w:val="24"/>
        </w:rPr>
        <w:t>notified to NHS England</w:t>
      </w:r>
      <w:r w:rsidR="00E613CA">
        <w:rPr>
          <w:rFonts w:ascii="Arial" w:hAnsi="Arial" w:cs="Arial"/>
          <w:sz w:val="24"/>
          <w:szCs w:val="24"/>
        </w:rPr>
        <w:t xml:space="preserve"> by NHS</w:t>
      </w:r>
      <w:r w:rsidR="00DE3533" w:rsidRPr="0072575F">
        <w:rPr>
          <w:rFonts w:ascii="Arial" w:hAnsi="Arial" w:cs="Arial"/>
          <w:sz w:val="24"/>
          <w:szCs w:val="24"/>
        </w:rPr>
        <w:t xml:space="preserve"> trusts </w:t>
      </w:r>
      <w:r w:rsidR="00E613CA">
        <w:rPr>
          <w:rFonts w:ascii="Arial" w:hAnsi="Arial" w:cs="Arial"/>
          <w:sz w:val="24"/>
          <w:szCs w:val="24"/>
        </w:rPr>
        <w:t>using</w:t>
      </w:r>
      <w:r w:rsidR="00DE3533" w:rsidRPr="0072575F">
        <w:rPr>
          <w:rFonts w:ascii="Arial" w:hAnsi="Arial" w:cs="Arial"/>
          <w:sz w:val="24"/>
          <w:szCs w:val="24"/>
        </w:rPr>
        <w:t xml:space="preserve"> the COVID-19 Patient Notification System (CPNS)</w:t>
      </w:r>
      <w:r w:rsidR="00AC3992">
        <w:rPr>
          <w:rFonts w:ascii="Arial" w:hAnsi="Arial" w:cs="Arial"/>
          <w:sz w:val="24"/>
          <w:szCs w:val="24"/>
        </w:rPr>
        <w:t xml:space="preserve"> </w:t>
      </w:r>
      <w:r w:rsidR="00F169BB">
        <w:rPr>
          <w:rFonts w:ascii="Arial" w:hAnsi="Arial" w:cs="Arial"/>
          <w:i/>
          <w:sz w:val="24"/>
          <w:szCs w:val="24"/>
        </w:rPr>
        <w:t>(</w:t>
      </w:r>
      <w:r w:rsidR="00E613CA">
        <w:rPr>
          <w:rFonts w:ascii="Arial" w:hAnsi="Arial" w:cs="Arial"/>
          <w:i/>
          <w:sz w:val="24"/>
          <w:szCs w:val="24"/>
        </w:rPr>
        <w:t>previous</w:t>
      </w:r>
      <w:r w:rsidR="00F169BB">
        <w:rPr>
          <w:rFonts w:ascii="Arial" w:hAnsi="Arial" w:cs="Arial"/>
          <w:i/>
          <w:sz w:val="24"/>
          <w:szCs w:val="24"/>
        </w:rPr>
        <w:t>ly the</w:t>
      </w:r>
      <w:r w:rsidR="00AC3992" w:rsidRPr="003A7B68">
        <w:rPr>
          <w:rFonts w:ascii="Arial" w:hAnsi="Arial" w:cs="Arial"/>
          <w:i/>
          <w:sz w:val="24"/>
          <w:szCs w:val="24"/>
        </w:rPr>
        <w:t xml:space="preserve"> source of </w:t>
      </w:r>
      <w:r w:rsidR="00F169BB">
        <w:rPr>
          <w:rFonts w:ascii="Arial" w:hAnsi="Arial" w:cs="Arial"/>
          <w:i/>
          <w:sz w:val="24"/>
          <w:szCs w:val="24"/>
        </w:rPr>
        <w:t>daily COVID-19</w:t>
      </w:r>
      <w:r w:rsidR="00AC3992" w:rsidRPr="003A7B68">
        <w:rPr>
          <w:rFonts w:ascii="Arial" w:hAnsi="Arial" w:cs="Arial"/>
          <w:i/>
          <w:sz w:val="24"/>
          <w:szCs w:val="24"/>
        </w:rPr>
        <w:t xml:space="preserve"> deaths in</w:t>
      </w:r>
      <w:r w:rsidR="00E613CA">
        <w:rPr>
          <w:rFonts w:ascii="Arial" w:hAnsi="Arial" w:cs="Arial"/>
          <w:i/>
          <w:sz w:val="24"/>
          <w:szCs w:val="24"/>
        </w:rPr>
        <w:t xml:space="preserve"> England</w:t>
      </w:r>
      <w:r w:rsidR="00F169BB">
        <w:rPr>
          <w:rFonts w:ascii="Arial" w:hAnsi="Arial" w:cs="Arial"/>
          <w:i/>
          <w:sz w:val="24"/>
          <w:szCs w:val="24"/>
        </w:rPr>
        <w:t>)</w:t>
      </w:r>
    </w:p>
    <w:p w14:paraId="2E02A3E2" w14:textId="08BA59D8" w:rsidR="00A5510D" w:rsidRPr="0072575F" w:rsidRDefault="00545A67" w:rsidP="00E613CA">
      <w:pPr>
        <w:pStyle w:val="ListParagraph"/>
        <w:numPr>
          <w:ilvl w:val="0"/>
          <w:numId w:val="2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>Deaths</w:t>
      </w:r>
      <w:r w:rsidR="00DA0E9F">
        <w:rPr>
          <w:rFonts w:ascii="Arial" w:hAnsi="Arial" w:cs="Arial"/>
          <w:sz w:val="24"/>
          <w:szCs w:val="24"/>
        </w:rPr>
        <w:t xml:space="preserve"> </w:t>
      </w:r>
      <w:r w:rsidR="0037367F">
        <w:rPr>
          <w:rFonts w:ascii="Arial" w:hAnsi="Arial" w:cs="Arial"/>
          <w:sz w:val="24"/>
          <w:szCs w:val="24"/>
        </w:rPr>
        <w:t xml:space="preserve">with a confirmed COVID-19 test, </w:t>
      </w:r>
      <w:r w:rsidR="00DA0E9F">
        <w:rPr>
          <w:rFonts w:ascii="Arial" w:hAnsi="Arial" w:cs="Arial"/>
          <w:sz w:val="24"/>
          <w:szCs w:val="24"/>
        </w:rPr>
        <w:t xml:space="preserve">notified to </w:t>
      </w:r>
      <w:r>
        <w:rPr>
          <w:rFonts w:ascii="Arial" w:hAnsi="Arial" w:cs="Arial"/>
          <w:sz w:val="24"/>
          <w:szCs w:val="24"/>
        </w:rPr>
        <w:t>PHE Health Protection Teams</w:t>
      </w:r>
      <w:r w:rsidR="00DA0E9F" w:rsidRPr="0072575F">
        <w:rPr>
          <w:rFonts w:ascii="Arial" w:hAnsi="Arial" w:cs="Arial"/>
          <w:sz w:val="24"/>
          <w:szCs w:val="24"/>
        </w:rPr>
        <w:t xml:space="preserve"> </w:t>
      </w:r>
      <w:bookmarkStart w:id="9" w:name="_Hlk38817034"/>
      <w:r w:rsidR="00CF6DA9" w:rsidRPr="00E613CA">
        <w:rPr>
          <w:rFonts w:ascii="Arial" w:hAnsi="Arial" w:cs="Arial"/>
          <w:sz w:val="24"/>
          <w:szCs w:val="24"/>
        </w:rPr>
        <w:t>during</w:t>
      </w:r>
      <w:r w:rsidR="00E613CA" w:rsidRPr="00E613CA">
        <w:rPr>
          <w:rFonts w:ascii="Arial" w:hAnsi="Arial" w:cs="Arial"/>
          <w:sz w:val="24"/>
          <w:szCs w:val="24"/>
        </w:rPr>
        <w:t xml:space="preserve"> outbreak mana</w:t>
      </w:r>
      <w:r w:rsidR="00CF6DA9">
        <w:rPr>
          <w:rFonts w:ascii="Arial" w:hAnsi="Arial" w:cs="Arial"/>
          <w:sz w:val="24"/>
          <w:szCs w:val="24"/>
        </w:rPr>
        <w:t>gemen</w:t>
      </w:r>
      <w:r w:rsidR="00E613CA" w:rsidRPr="00E613CA">
        <w:rPr>
          <w:rFonts w:ascii="Arial" w:hAnsi="Arial" w:cs="Arial"/>
          <w:sz w:val="24"/>
          <w:szCs w:val="24"/>
        </w:rPr>
        <w:t xml:space="preserve">t </w:t>
      </w:r>
      <w:r w:rsidR="007C279F" w:rsidRPr="0072575F">
        <w:rPr>
          <w:rFonts w:ascii="Arial" w:hAnsi="Arial" w:cs="Arial"/>
          <w:sz w:val="24"/>
          <w:szCs w:val="24"/>
        </w:rPr>
        <w:t>(primarily</w:t>
      </w:r>
      <w:r w:rsidR="00E613CA">
        <w:rPr>
          <w:rFonts w:ascii="Arial" w:hAnsi="Arial" w:cs="Arial"/>
          <w:sz w:val="24"/>
          <w:szCs w:val="24"/>
        </w:rPr>
        <w:t xml:space="preserve"> in</w:t>
      </w:r>
      <w:r w:rsidR="007C279F" w:rsidRPr="0072575F">
        <w:rPr>
          <w:rFonts w:ascii="Arial" w:hAnsi="Arial" w:cs="Arial"/>
          <w:sz w:val="24"/>
          <w:szCs w:val="24"/>
        </w:rPr>
        <w:t xml:space="preserve"> </w:t>
      </w:r>
      <w:r w:rsidR="00BE756D" w:rsidRPr="0072575F">
        <w:rPr>
          <w:rFonts w:ascii="Arial" w:hAnsi="Arial" w:cs="Arial"/>
          <w:sz w:val="24"/>
          <w:szCs w:val="24"/>
        </w:rPr>
        <w:t>non-hospital settings</w:t>
      </w:r>
      <w:r w:rsidR="007C279F" w:rsidRPr="0072575F">
        <w:rPr>
          <w:rFonts w:ascii="Arial" w:hAnsi="Arial" w:cs="Arial"/>
          <w:sz w:val="24"/>
          <w:szCs w:val="24"/>
        </w:rPr>
        <w:t>)</w:t>
      </w:r>
      <w:r w:rsidR="00260C75">
        <w:rPr>
          <w:rFonts w:ascii="Arial" w:hAnsi="Arial" w:cs="Arial"/>
          <w:sz w:val="24"/>
          <w:szCs w:val="24"/>
        </w:rPr>
        <w:t xml:space="preserve"> and recorded in </w:t>
      </w:r>
      <w:r w:rsidR="002E1207">
        <w:rPr>
          <w:rFonts w:ascii="Arial" w:hAnsi="Arial" w:cs="Arial"/>
          <w:sz w:val="24"/>
          <w:szCs w:val="24"/>
        </w:rPr>
        <w:t>an</w:t>
      </w:r>
      <w:r w:rsidR="00260C75">
        <w:rPr>
          <w:rFonts w:ascii="Arial" w:hAnsi="Arial" w:cs="Arial"/>
          <w:sz w:val="24"/>
          <w:szCs w:val="24"/>
        </w:rPr>
        <w:t xml:space="preserve"> electronic</w:t>
      </w:r>
      <w:r w:rsidR="002E1207">
        <w:rPr>
          <w:rFonts w:ascii="Arial" w:hAnsi="Arial" w:cs="Arial"/>
          <w:sz w:val="24"/>
          <w:szCs w:val="24"/>
        </w:rPr>
        <w:t xml:space="preserve"> reporting</w:t>
      </w:r>
      <w:r w:rsidR="00260C75">
        <w:rPr>
          <w:rFonts w:ascii="Arial" w:hAnsi="Arial" w:cs="Arial"/>
          <w:sz w:val="24"/>
          <w:szCs w:val="24"/>
        </w:rPr>
        <w:t xml:space="preserve"> system</w:t>
      </w:r>
      <w:bookmarkEnd w:id="9"/>
    </w:p>
    <w:p w14:paraId="4D88C5B6" w14:textId="2FB811B0" w:rsidR="009606A3" w:rsidRPr="009606A3" w:rsidRDefault="00834821" w:rsidP="00CF6DA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people with a</w:t>
      </w:r>
      <w:r w:rsidR="002E1207">
        <w:rPr>
          <w:rFonts w:ascii="Arial" w:hAnsi="Arial" w:cs="Arial"/>
          <w:sz w:val="24"/>
          <w:szCs w:val="24"/>
        </w:rPr>
        <w:t xml:space="preserve"> laboratory confirmed COVID-19 </w:t>
      </w:r>
      <w:r>
        <w:rPr>
          <w:rFonts w:ascii="Arial" w:hAnsi="Arial" w:cs="Arial"/>
          <w:sz w:val="24"/>
          <w:szCs w:val="24"/>
        </w:rPr>
        <w:t>test reported to P</w:t>
      </w:r>
      <w:r w:rsidR="002E1207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via the </w:t>
      </w:r>
      <w:proofErr w:type="gramStart"/>
      <w:r w:rsidR="002E1207" w:rsidRPr="002E1207">
        <w:rPr>
          <w:rFonts w:ascii="Arial" w:hAnsi="Arial" w:cs="Arial"/>
          <w:sz w:val="24"/>
          <w:szCs w:val="24"/>
        </w:rPr>
        <w:t>Second Generation</w:t>
      </w:r>
      <w:proofErr w:type="gramEnd"/>
      <w:r w:rsidR="002E1207" w:rsidRPr="002E1207">
        <w:rPr>
          <w:rFonts w:ascii="Arial" w:hAnsi="Arial" w:cs="Arial"/>
          <w:sz w:val="24"/>
          <w:szCs w:val="24"/>
        </w:rPr>
        <w:t xml:space="preserve"> Surveillance System (SGSS)</w:t>
      </w:r>
      <w:r>
        <w:rPr>
          <w:rFonts w:ascii="Arial" w:hAnsi="Arial" w:cs="Arial"/>
          <w:sz w:val="24"/>
          <w:szCs w:val="24"/>
        </w:rPr>
        <w:t xml:space="preserve"> (a centralised repository of laboratory results from Public Health and NHS laboratories)</w:t>
      </w:r>
      <w:r w:rsidR="002E1207">
        <w:rPr>
          <w:rStyle w:val="FootnoteReference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. </w:t>
      </w:r>
      <w:bookmarkStart w:id="10" w:name="_Hlk38817161"/>
      <w:r>
        <w:rPr>
          <w:rFonts w:ascii="Arial" w:hAnsi="Arial" w:cs="Arial"/>
          <w:sz w:val="24"/>
          <w:szCs w:val="24"/>
        </w:rPr>
        <w:t xml:space="preserve">This list is </w:t>
      </w:r>
      <w:r w:rsidR="002E1207">
        <w:rPr>
          <w:rFonts w:ascii="Arial" w:hAnsi="Arial" w:cs="Arial"/>
          <w:sz w:val="24"/>
          <w:szCs w:val="24"/>
        </w:rPr>
        <w:t xml:space="preserve">submitted </w:t>
      </w:r>
      <w:proofErr w:type="gramStart"/>
      <w:r>
        <w:rPr>
          <w:rFonts w:ascii="Arial" w:hAnsi="Arial" w:cs="Arial"/>
          <w:sz w:val="24"/>
          <w:szCs w:val="24"/>
        </w:rPr>
        <w:t>on a daily basis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E1207">
        <w:rPr>
          <w:rFonts w:ascii="Arial" w:hAnsi="Arial" w:cs="Arial"/>
          <w:sz w:val="24"/>
          <w:szCs w:val="24"/>
        </w:rPr>
        <w:t>to the Demographic Batch Service (DBS)</w:t>
      </w:r>
      <w:r w:rsidR="002E1207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2E12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to </w:t>
      </w:r>
      <w:r w:rsidR="00107210" w:rsidRPr="00107210">
        <w:rPr>
          <w:rFonts w:ascii="Arial" w:hAnsi="Arial" w:cs="Arial"/>
          <w:sz w:val="24"/>
          <w:szCs w:val="24"/>
        </w:rPr>
        <w:t xml:space="preserve">check NHS patient records for reports </w:t>
      </w:r>
      <w:r w:rsidR="00CF6DA9">
        <w:rPr>
          <w:rFonts w:ascii="Arial" w:hAnsi="Arial" w:cs="Arial"/>
          <w:sz w:val="24"/>
          <w:szCs w:val="24"/>
        </w:rPr>
        <w:t>of</w:t>
      </w:r>
      <w:r w:rsidR="00107210" w:rsidRPr="00107210">
        <w:rPr>
          <w:rFonts w:ascii="Arial" w:hAnsi="Arial" w:cs="Arial"/>
          <w:sz w:val="24"/>
          <w:szCs w:val="24"/>
        </w:rPr>
        <w:t xml:space="preserve"> individuals who died in the previous 24 hours</w:t>
      </w:r>
      <w:r w:rsidR="0037367F">
        <w:rPr>
          <w:rFonts w:ascii="Arial" w:hAnsi="Arial" w:cs="Arial"/>
          <w:sz w:val="24"/>
          <w:szCs w:val="24"/>
        </w:rPr>
        <w:t xml:space="preserve"> </w:t>
      </w:r>
      <w:r w:rsidR="00CF6DA9">
        <w:rPr>
          <w:rFonts w:ascii="Arial" w:hAnsi="Arial" w:cs="Arial"/>
          <w:sz w:val="24"/>
          <w:szCs w:val="24"/>
        </w:rPr>
        <w:t>in any setting.</w:t>
      </w:r>
    </w:p>
    <w:bookmarkEnd w:id="10"/>
    <w:p w14:paraId="64CD23FC" w14:textId="6E0EB793" w:rsidR="007A2173" w:rsidRDefault="0075232B" w:rsidP="007A2173">
      <w:pPr>
        <w:rPr>
          <w:szCs w:val="24"/>
        </w:rPr>
      </w:pPr>
      <w:r>
        <w:rPr>
          <w:szCs w:val="24"/>
        </w:rPr>
        <w:lastRenderedPageBreak/>
        <w:t xml:space="preserve">Data from each source are </w:t>
      </w:r>
      <w:r w:rsidR="00FF3797">
        <w:rPr>
          <w:szCs w:val="24"/>
        </w:rPr>
        <w:t>collected and automated programmes check for errors and make sure deaths are not counted</w:t>
      </w:r>
      <w:r w:rsidR="00545A67">
        <w:rPr>
          <w:szCs w:val="24"/>
        </w:rPr>
        <w:t xml:space="preserve"> twice</w:t>
      </w:r>
      <w:r w:rsidR="00FF3797">
        <w:rPr>
          <w:szCs w:val="24"/>
        </w:rPr>
        <w:t xml:space="preserve">. </w:t>
      </w:r>
    </w:p>
    <w:p w14:paraId="3C217F8C" w14:textId="339D2EDB" w:rsidR="007A2173" w:rsidRDefault="000D0667" w:rsidP="00040C25">
      <w:pPr>
        <w:pStyle w:val="Style2"/>
      </w:pPr>
      <w:bookmarkStart w:id="11" w:name="_Toc38900587"/>
      <w:r>
        <w:t>4.3</w:t>
      </w:r>
      <w:r w:rsidR="009606A3">
        <w:t xml:space="preserve"> </w:t>
      </w:r>
      <w:r w:rsidR="007A2173">
        <w:t>Quality assurance</w:t>
      </w:r>
      <w:bookmarkEnd w:id="11"/>
    </w:p>
    <w:p w14:paraId="0A8C3017" w14:textId="541E0BAD" w:rsidR="00895DAE" w:rsidRDefault="0084025F" w:rsidP="007A2173">
      <w:r>
        <w:t xml:space="preserve">Quality assurance is undertaken by </w:t>
      </w:r>
      <w:r w:rsidR="000054D2">
        <w:t>PHE</w:t>
      </w:r>
      <w:r>
        <w:t xml:space="preserve"> </w:t>
      </w:r>
      <w:r w:rsidR="00123843">
        <w:t>using semi-</w:t>
      </w:r>
      <w:r>
        <w:t>automated programme</w:t>
      </w:r>
      <w:r w:rsidR="00123843">
        <w:t>s</w:t>
      </w:r>
      <w:r w:rsidR="0086329F">
        <w:t>, with manual checking before and after processing</w:t>
      </w:r>
      <w:r>
        <w:t>.</w:t>
      </w:r>
      <w:r w:rsidR="009606A3">
        <w:t xml:space="preserve"> </w:t>
      </w:r>
      <w:r>
        <w:t>This involves</w:t>
      </w:r>
      <w:r w:rsidR="00123843">
        <w:t xml:space="preserve"> sense checking data in relation to </w:t>
      </w:r>
      <w:r>
        <w:t xml:space="preserve">key </w:t>
      </w:r>
      <w:r w:rsidR="00545A67">
        <w:t>information</w:t>
      </w:r>
      <w:r w:rsidR="00542FD9">
        <w:t xml:space="preserve"> (</w:t>
      </w:r>
      <w:proofErr w:type="spellStart"/>
      <w:r w:rsidR="00542FD9">
        <w:t>eg</w:t>
      </w:r>
      <w:proofErr w:type="spellEnd"/>
      <w:r>
        <w:t xml:space="preserve"> </w:t>
      </w:r>
      <w:r w:rsidR="00123843">
        <w:t xml:space="preserve">age at death, date of </w:t>
      </w:r>
      <w:r>
        <w:t>bi</w:t>
      </w:r>
      <w:r w:rsidR="00123843">
        <w:t xml:space="preserve">rth, hospital admission, death </w:t>
      </w:r>
      <w:r>
        <w:t>report).</w:t>
      </w:r>
      <w:r w:rsidR="009606A3">
        <w:t xml:space="preserve"> </w:t>
      </w:r>
      <w:r>
        <w:t xml:space="preserve">Data </w:t>
      </w:r>
      <w:r w:rsidR="009B0CDE">
        <w:t xml:space="preserve">from </w:t>
      </w:r>
      <w:r w:rsidR="000054D2">
        <w:t>each source are</w:t>
      </w:r>
      <w:r>
        <w:t xml:space="preserve"> </w:t>
      </w:r>
      <w:r w:rsidR="00963397">
        <w:t>merged</w:t>
      </w:r>
      <w:r>
        <w:t xml:space="preserve"> and duplicate reports are removed. </w:t>
      </w:r>
    </w:p>
    <w:p w14:paraId="6F03DE48" w14:textId="77777777" w:rsidR="00895DAE" w:rsidRDefault="00895DAE" w:rsidP="007A2173"/>
    <w:p w14:paraId="22A1DA16" w14:textId="0CB4EABA" w:rsidR="0084025F" w:rsidRPr="0086329F" w:rsidRDefault="00895DAE" w:rsidP="0084025F">
      <w:pPr>
        <w:rPr>
          <w:szCs w:val="24"/>
        </w:rPr>
      </w:pPr>
      <w:r>
        <w:rPr>
          <w:szCs w:val="24"/>
        </w:rPr>
        <w:t xml:space="preserve">On a weekly basis, data reported from </w:t>
      </w:r>
      <w:r w:rsidR="009B0CDE">
        <w:rPr>
          <w:szCs w:val="24"/>
        </w:rPr>
        <w:t xml:space="preserve">the </w:t>
      </w:r>
      <w:r>
        <w:rPr>
          <w:szCs w:val="24"/>
        </w:rPr>
        <w:t>Office for National Statistics (ONS) death registrations</w:t>
      </w:r>
      <w:r w:rsidR="00F005A5">
        <w:rPr>
          <w:szCs w:val="24"/>
        </w:rPr>
        <w:t xml:space="preserve"> (with an 11-day lag)</w:t>
      </w:r>
      <w:r>
        <w:rPr>
          <w:szCs w:val="24"/>
        </w:rPr>
        <w:t xml:space="preserve"> are compared with the </w:t>
      </w:r>
      <w:r w:rsidR="00123843">
        <w:rPr>
          <w:szCs w:val="24"/>
        </w:rPr>
        <w:t>PHE data series</w:t>
      </w:r>
      <w:r w:rsidR="004925B6">
        <w:rPr>
          <w:szCs w:val="24"/>
        </w:rPr>
        <w:t xml:space="preserve">. These data </w:t>
      </w:r>
      <w:r w:rsidR="00F005A5">
        <w:rPr>
          <w:szCs w:val="24"/>
        </w:rPr>
        <w:t>are</w:t>
      </w:r>
      <w:r w:rsidR="004925B6">
        <w:rPr>
          <w:szCs w:val="24"/>
        </w:rPr>
        <w:t xml:space="preserve"> </w:t>
      </w:r>
      <w:r w:rsidR="00967948">
        <w:rPr>
          <w:szCs w:val="24"/>
        </w:rPr>
        <w:t>used to</w:t>
      </w:r>
      <w:r w:rsidR="00F005A5">
        <w:rPr>
          <w:szCs w:val="24"/>
        </w:rPr>
        <w:t xml:space="preserve"> </w:t>
      </w:r>
      <w:r>
        <w:rPr>
          <w:szCs w:val="24"/>
        </w:rPr>
        <w:t xml:space="preserve">enhance information </w:t>
      </w:r>
      <w:r w:rsidR="0086329F">
        <w:rPr>
          <w:szCs w:val="24"/>
        </w:rPr>
        <w:t>on</w:t>
      </w:r>
      <w:r>
        <w:rPr>
          <w:szCs w:val="24"/>
        </w:rPr>
        <w:t xml:space="preserve"> cause of death and setting of death</w:t>
      </w:r>
      <w:r w:rsidR="00545A67">
        <w:rPr>
          <w:szCs w:val="24"/>
        </w:rPr>
        <w:t>.</w:t>
      </w:r>
      <w:r w:rsidR="009606A3">
        <w:rPr>
          <w:szCs w:val="24"/>
        </w:rPr>
        <w:t xml:space="preserve"> </w:t>
      </w:r>
    </w:p>
    <w:p w14:paraId="719DB14A" w14:textId="50083271" w:rsidR="00545A67" w:rsidRPr="00797C46" w:rsidRDefault="00545A67" w:rsidP="00797C46">
      <w:pPr>
        <w:rPr>
          <w:szCs w:val="24"/>
        </w:rPr>
      </w:pPr>
    </w:p>
    <w:p w14:paraId="0A229581" w14:textId="1FE52DA8" w:rsidR="00573AEF" w:rsidRPr="009F5A6B" w:rsidRDefault="00884E81" w:rsidP="000D0667">
      <w:pPr>
        <w:pStyle w:val="Style1"/>
        <w:rPr>
          <w:rFonts w:cs="Times New Roman"/>
          <w:iCs/>
          <w:color w:val="98002E"/>
          <w:sz w:val="32"/>
          <w:szCs w:val="28"/>
        </w:rPr>
      </w:pPr>
      <w:bookmarkStart w:id="12" w:name="_Toc38900588"/>
      <w:r>
        <w:rPr>
          <w:rStyle w:val="PHEFrontpagemaintitle"/>
        </w:rPr>
        <w:t>How does</w:t>
      </w:r>
      <w:r w:rsidR="000D0667" w:rsidRPr="00040C25">
        <w:rPr>
          <w:rStyle w:val="PHEFrontpagemaintitle"/>
        </w:rPr>
        <w:t xml:space="preserve"> </w:t>
      </w:r>
      <w:r w:rsidR="009F5A6B">
        <w:rPr>
          <w:rStyle w:val="PHEFrontpagemaintitle"/>
        </w:rPr>
        <w:t>the PHE data series</w:t>
      </w:r>
      <w:r>
        <w:rPr>
          <w:rStyle w:val="PHEFrontpagemaintitle"/>
        </w:rPr>
        <w:t xml:space="preserve"> compare?</w:t>
      </w:r>
      <w:bookmarkEnd w:id="12"/>
    </w:p>
    <w:p w14:paraId="4D4B1287" w14:textId="77777777" w:rsidR="00797C46" w:rsidRPr="00797C46" w:rsidRDefault="00AF0DD7" w:rsidP="00797C46">
      <w:pPr>
        <w:pStyle w:val="Style2"/>
        <w:rPr>
          <w:rStyle w:val="PHEFrontpagemaintitle"/>
          <w:iCs/>
          <w:sz w:val="28"/>
        </w:rPr>
      </w:pPr>
      <w:bookmarkStart w:id="13" w:name="_Toc38900589"/>
      <w:r w:rsidRPr="00797C46">
        <w:t>6</w:t>
      </w:r>
      <w:r w:rsidR="00040C25" w:rsidRPr="00797C46">
        <w:t xml:space="preserve">.1 </w:t>
      </w:r>
      <w:r w:rsidR="00797C46" w:rsidRPr="00797C46">
        <w:t xml:space="preserve"> </w:t>
      </w:r>
      <w:r w:rsidR="00797C46" w:rsidRPr="00797C46">
        <w:rPr>
          <w:rStyle w:val="PHEFrontpagemaintitle"/>
          <w:iCs/>
          <w:sz w:val="28"/>
        </w:rPr>
        <w:t>Advantages of the new PHE data series</w:t>
      </w:r>
      <w:bookmarkEnd w:id="13"/>
    </w:p>
    <w:p w14:paraId="5412A6E6" w14:textId="77777777" w:rsidR="00797C46" w:rsidRDefault="00797C46" w:rsidP="00797C46">
      <w:pPr>
        <w:pStyle w:val="Style1"/>
        <w:numPr>
          <w:ilvl w:val="0"/>
          <w:numId w:val="0"/>
        </w:numPr>
        <w:ind w:left="720" w:hanging="360"/>
        <w:rPr>
          <w:rStyle w:val="PHEFrontpagemaintitle"/>
        </w:rPr>
      </w:pPr>
    </w:p>
    <w:p w14:paraId="6A99A7EF" w14:textId="77777777" w:rsidR="00797C46" w:rsidRPr="00E74263" w:rsidRDefault="00797C46" w:rsidP="00797C46">
      <w:pPr>
        <w:rPr>
          <w:rFonts w:eastAsiaTheme="minorHAnsi"/>
          <w:szCs w:val="24"/>
        </w:rPr>
      </w:pPr>
      <w:r w:rsidRPr="00E74263">
        <w:rPr>
          <w:rFonts w:eastAsiaTheme="minorHAnsi"/>
          <w:szCs w:val="24"/>
        </w:rPr>
        <w:t xml:space="preserve">The </w:t>
      </w:r>
      <w:r>
        <w:rPr>
          <w:rFonts w:eastAsiaTheme="minorHAnsi"/>
          <w:szCs w:val="24"/>
        </w:rPr>
        <w:t>PHE data series</w:t>
      </w:r>
      <w:r w:rsidRPr="00E74263">
        <w:rPr>
          <w:rFonts w:eastAsiaTheme="minorHAnsi"/>
          <w:szCs w:val="24"/>
        </w:rPr>
        <w:t xml:space="preserve"> </w:t>
      </w:r>
      <w:r>
        <w:rPr>
          <w:rFonts w:eastAsiaTheme="minorHAnsi"/>
          <w:szCs w:val="24"/>
        </w:rPr>
        <w:t>has the following advantages:</w:t>
      </w:r>
    </w:p>
    <w:p w14:paraId="23CC689F" w14:textId="77777777" w:rsidR="00797C46" w:rsidRPr="00E74263" w:rsidRDefault="00797C46" w:rsidP="0037367F">
      <w:pPr>
        <w:rPr>
          <w:rFonts w:eastAsiaTheme="minorHAnsi"/>
          <w:szCs w:val="24"/>
        </w:rPr>
      </w:pPr>
    </w:p>
    <w:p w14:paraId="73D66BB5" w14:textId="2577BC4D" w:rsidR="00797C46" w:rsidRPr="00895DAE" w:rsidRDefault="00542FD9" w:rsidP="0037367F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797C46">
        <w:rPr>
          <w:rFonts w:ascii="Arial" w:hAnsi="Arial" w:cs="Arial"/>
          <w:sz w:val="24"/>
          <w:szCs w:val="24"/>
        </w:rPr>
        <w:t>roader coverage by including</w:t>
      </w:r>
      <w:r w:rsidR="00797C46" w:rsidRPr="00A4251D">
        <w:rPr>
          <w:rFonts w:ascii="Arial" w:hAnsi="Arial" w:cs="Arial"/>
          <w:sz w:val="24"/>
          <w:szCs w:val="24"/>
        </w:rPr>
        <w:t xml:space="preserve"> deaths </w:t>
      </w:r>
      <w:r w:rsidR="00797C46" w:rsidRPr="00895DAE">
        <w:rPr>
          <w:rFonts w:ascii="Arial" w:hAnsi="Arial" w:cs="Arial"/>
          <w:sz w:val="24"/>
          <w:szCs w:val="24"/>
        </w:rPr>
        <w:t>in anyone diagnosed with COVID-19, including those outside of hospital settings</w:t>
      </w:r>
    </w:p>
    <w:p w14:paraId="03EEF7B1" w14:textId="60E45825" w:rsidR="00797C46" w:rsidRDefault="00542FD9" w:rsidP="0037367F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797C46">
        <w:rPr>
          <w:rFonts w:ascii="Arial" w:hAnsi="Arial" w:cs="Arial"/>
          <w:sz w:val="24"/>
          <w:szCs w:val="24"/>
        </w:rPr>
        <w:t xml:space="preserve">ore timely reporting of deaths: there is </w:t>
      </w:r>
      <w:r w:rsidR="0037367F">
        <w:rPr>
          <w:rFonts w:ascii="Arial" w:hAnsi="Arial" w:cs="Arial"/>
          <w:sz w:val="24"/>
          <w:szCs w:val="24"/>
        </w:rPr>
        <w:t>a</w:t>
      </w:r>
      <w:r w:rsidR="00797C46">
        <w:rPr>
          <w:rFonts w:ascii="Arial" w:hAnsi="Arial" w:cs="Arial"/>
          <w:sz w:val="24"/>
          <w:szCs w:val="24"/>
        </w:rPr>
        <w:t xml:space="preserve"> time lag between the date of death and the date it is reported to PHE. </w:t>
      </w:r>
      <w:r w:rsidR="0037367F">
        <w:rPr>
          <w:rFonts w:ascii="Arial" w:hAnsi="Arial" w:cs="Arial"/>
          <w:sz w:val="24"/>
          <w:szCs w:val="24"/>
        </w:rPr>
        <w:t xml:space="preserve">Using </w:t>
      </w:r>
      <w:r w:rsidR="00797C46">
        <w:rPr>
          <w:rFonts w:ascii="Arial" w:hAnsi="Arial" w:cs="Arial"/>
          <w:sz w:val="24"/>
          <w:szCs w:val="24"/>
        </w:rPr>
        <w:t>multiple overlapping data sources, the delay is reduced by approximately 1-2 days</w:t>
      </w:r>
    </w:p>
    <w:p w14:paraId="01A0FB60" w14:textId="4C93DFC8" w:rsidR="00797C46" w:rsidRPr="00A4251D" w:rsidRDefault="00542FD9" w:rsidP="0037367F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97C46">
        <w:rPr>
          <w:rFonts w:ascii="Arial" w:hAnsi="Arial" w:cs="Arial"/>
          <w:sz w:val="24"/>
          <w:szCs w:val="24"/>
        </w:rPr>
        <w:t>mproves completeness of hospital reporting by combining</w:t>
      </w:r>
      <w:r w:rsidR="00797C46" w:rsidRPr="00A4251D">
        <w:rPr>
          <w:rFonts w:ascii="Arial" w:hAnsi="Arial" w:cs="Arial"/>
          <w:sz w:val="24"/>
          <w:szCs w:val="24"/>
        </w:rPr>
        <w:t xml:space="preserve"> informa</w:t>
      </w:r>
      <w:r w:rsidR="00797C46">
        <w:rPr>
          <w:rFonts w:ascii="Arial" w:hAnsi="Arial" w:cs="Arial"/>
          <w:sz w:val="24"/>
          <w:szCs w:val="24"/>
        </w:rPr>
        <w:t xml:space="preserve">tion from multiple sources, making </w:t>
      </w:r>
      <w:r w:rsidR="00797C46" w:rsidRPr="002A0394">
        <w:rPr>
          <w:rFonts w:ascii="Arial" w:hAnsi="Arial" w:cs="Arial"/>
          <w:sz w:val="24"/>
          <w:szCs w:val="24"/>
        </w:rPr>
        <w:t>it less likely that deaths are missed.</w:t>
      </w:r>
    </w:p>
    <w:p w14:paraId="704F1863" w14:textId="7C5DE04E" w:rsidR="00797C46" w:rsidRPr="00797C46" w:rsidRDefault="00542FD9" w:rsidP="0037367F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97C46">
        <w:rPr>
          <w:rFonts w:ascii="Arial" w:hAnsi="Arial" w:cs="Arial"/>
          <w:sz w:val="24"/>
          <w:szCs w:val="24"/>
        </w:rPr>
        <w:t xml:space="preserve">t </w:t>
      </w:r>
      <w:r w:rsidR="00797C46" w:rsidRPr="003104D4">
        <w:rPr>
          <w:rFonts w:ascii="Arial" w:hAnsi="Arial" w:cs="Arial"/>
          <w:sz w:val="24"/>
          <w:szCs w:val="24"/>
        </w:rPr>
        <w:t xml:space="preserve">aligns England COVID-19 death reporting with </w:t>
      </w:r>
      <w:r w:rsidR="00797C46">
        <w:rPr>
          <w:rFonts w:ascii="Arial" w:hAnsi="Arial" w:cs="Arial"/>
          <w:sz w:val="24"/>
          <w:szCs w:val="24"/>
        </w:rPr>
        <w:t>how deaths are reported</w:t>
      </w:r>
      <w:r w:rsidR="00797C46" w:rsidRPr="003104D4">
        <w:rPr>
          <w:rFonts w:ascii="Arial" w:hAnsi="Arial" w:cs="Arial"/>
          <w:sz w:val="24"/>
          <w:szCs w:val="24"/>
        </w:rPr>
        <w:t xml:space="preserve"> in the rest of the UK</w:t>
      </w:r>
      <w:r w:rsidR="00797C46" w:rsidRPr="00B43797">
        <w:rPr>
          <w:rFonts w:ascii="Arial" w:hAnsi="Arial" w:cs="Arial"/>
          <w:sz w:val="24"/>
          <w:szCs w:val="24"/>
        </w:rPr>
        <w:t>.</w:t>
      </w:r>
      <w:r w:rsidR="00797C46">
        <w:rPr>
          <w:rFonts w:ascii="Arial" w:hAnsi="Arial" w:cs="Arial"/>
          <w:sz w:val="24"/>
          <w:szCs w:val="24"/>
        </w:rPr>
        <w:t xml:space="preserve"> Scotland, Wales and Northern Ireland </w:t>
      </w:r>
      <w:r w:rsidR="00797C46" w:rsidRPr="004E45DB">
        <w:rPr>
          <w:rFonts w:ascii="Arial" w:hAnsi="Arial" w:cs="Arial"/>
          <w:sz w:val="24"/>
          <w:szCs w:val="24"/>
        </w:rPr>
        <w:t>captur</w:t>
      </w:r>
      <w:r w:rsidR="0037367F">
        <w:rPr>
          <w:rFonts w:ascii="Arial" w:hAnsi="Arial" w:cs="Arial"/>
          <w:sz w:val="24"/>
          <w:szCs w:val="24"/>
        </w:rPr>
        <w:t>e</w:t>
      </w:r>
      <w:r w:rsidR="00797C46" w:rsidRPr="004E45DB">
        <w:rPr>
          <w:rFonts w:ascii="Arial" w:hAnsi="Arial" w:cs="Arial"/>
          <w:sz w:val="24"/>
          <w:szCs w:val="24"/>
        </w:rPr>
        <w:t xml:space="preserve"> deaths outside hospital</w:t>
      </w:r>
      <w:r w:rsidR="00797C46">
        <w:rPr>
          <w:rFonts w:ascii="Arial" w:hAnsi="Arial" w:cs="Arial"/>
          <w:sz w:val="24"/>
          <w:szCs w:val="24"/>
        </w:rPr>
        <w:t>s</w:t>
      </w:r>
      <w:r w:rsidR="00797C46" w:rsidRPr="004E45DB" w:rsidDel="004E45DB">
        <w:rPr>
          <w:rFonts w:ascii="Arial" w:hAnsi="Arial" w:cs="Arial"/>
          <w:sz w:val="24"/>
          <w:szCs w:val="24"/>
        </w:rPr>
        <w:t xml:space="preserve"> </w:t>
      </w:r>
      <w:r w:rsidR="00797C46">
        <w:rPr>
          <w:rFonts w:ascii="Arial" w:hAnsi="Arial" w:cs="Arial"/>
          <w:sz w:val="24"/>
          <w:szCs w:val="24"/>
        </w:rPr>
        <w:t xml:space="preserve"> </w:t>
      </w:r>
    </w:p>
    <w:p w14:paraId="0810DE17" w14:textId="1413E6F1" w:rsidR="007A2173" w:rsidRPr="00884E81" w:rsidRDefault="00797C46" w:rsidP="00040C25">
      <w:pPr>
        <w:pStyle w:val="Style2"/>
        <w:rPr>
          <w:lang w:val="en-GB"/>
        </w:rPr>
      </w:pPr>
      <w:bookmarkStart w:id="14" w:name="_Toc38900590"/>
      <w:r>
        <w:rPr>
          <w:lang w:val="en-GB"/>
        </w:rPr>
        <w:t xml:space="preserve">6.2 </w:t>
      </w:r>
      <w:r w:rsidR="007A2173">
        <w:t xml:space="preserve">Difference in </w:t>
      </w:r>
      <w:r w:rsidR="00884E81">
        <w:rPr>
          <w:lang w:val="en-GB"/>
        </w:rPr>
        <w:t xml:space="preserve">the </w:t>
      </w:r>
      <w:r w:rsidR="007A2173">
        <w:t>number of deaths</w:t>
      </w:r>
      <w:r w:rsidR="00884E81">
        <w:rPr>
          <w:lang w:val="en-GB"/>
        </w:rPr>
        <w:t xml:space="preserve"> compared to NHS England hospital deaths</w:t>
      </w:r>
      <w:bookmarkEnd w:id="14"/>
    </w:p>
    <w:p w14:paraId="5A6FFFEB" w14:textId="11F43D26" w:rsidR="007A2173" w:rsidRDefault="007A2173" w:rsidP="00151562">
      <w:bookmarkStart w:id="15" w:name="_GoBack"/>
    </w:p>
    <w:p w14:paraId="68C92356" w14:textId="648E5656" w:rsidR="00F169BB" w:rsidRDefault="0075232B" w:rsidP="00AF0DD7">
      <w:r w:rsidRPr="00107210">
        <w:t xml:space="preserve">Using data reported </w:t>
      </w:r>
      <w:r w:rsidR="00545A67">
        <w:t>up to</w:t>
      </w:r>
      <w:r w:rsidR="00884E81">
        <w:t xml:space="preserve"> 5pm on </w:t>
      </w:r>
      <w:r w:rsidR="0057046E">
        <w:t>28</w:t>
      </w:r>
      <w:r w:rsidR="00EE15E4">
        <w:t xml:space="preserve"> </w:t>
      </w:r>
      <w:r w:rsidRPr="00107210">
        <w:t xml:space="preserve">April </w:t>
      </w:r>
      <w:bookmarkEnd w:id="15"/>
      <w:r w:rsidRPr="00107210">
        <w:t xml:space="preserve">2020, </w:t>
      </w:r>
      <w:r w:rsidR="00EE15E4" w:rsidRPr="0057046E">
        <w:rPr>
          <w:szCs w:val="24"/>
        </w:rPr>
        <w:t>19,</w:t>
      </w:r>
      <w:r w:rsidR="00945DD4" w:rsidRPr="0057046E">
        <w:rPr>
          <w:szCs w:val="24"/>
        </w:rPr>
        <w:t>739</w:t>
      </w:r>
      <w:r w:rsidR="00F169BB" w:rsidRPr="0057046E">
        <w:rPr>
          <w:szCs w:val="24"/>
        </w:rPr>
        <w:t xml:space="preserve"> </w:t>
      </w:r>
      <w:r w:rsidRPr="0057046E">
        <w:t>deaths</w:t>
      </w:r>
      <w:r w:rsidR="00884E81" w:rsidRPr="0057046E">
        <w:t xml:space="preserve"> in hospitals were reported </w:t>
      </w:r>
      <w:r w:rsidRPr="0057046E">
        <w:t>by NHS</w:t>
      </w:r>
      <w:r w:rsidR="00F169BB" w:rsidRPr="0057046E">
        <w:t xml:space="preserve"> </w:t>
      </w:r>
      <w:r w:rsidRPr="0057046E">
        <w:t>E</w:t>
      </w:r>
      <w:r w:rsidR="00F169BB" w:rsidRPr="0057046E">
        <w:t>ngland</w:t>
      </w:r>
      <w:r w:rsidRPr="0057046E">
        <w:t>.</w:t>
      </w:r>
      <w:r w:rsidR="009606A3" w:rsidRPr="0057046E">
        <w:t xml:space="preserve"> </w:t>
      </w:r>
      <w:r w:rsidR="00545A67" w:rsidRPr="0057046E">
        <w:t>The</w:t>
      </w:r>
      <w:r w:rsidR="003548C7" w:rsidRPr="0057046E">
        <w:t xml:space="preserve"> PHE </w:t>
      </w:r>
      <w:r w:rsidR="0072575F" w:rsidRPr="0057046E">
        <w:t>data series currently</w:t>
      </w:r>
      <w:r w:rsidR="003548C7" w:rsidRPr="0057046E">
        <w:t xml:space="preserve"> identifies</w:t>
      </w:r>
      <w:r w:rsidR="00884E81" w:rsidRPr="0057046E">
        <w:t xml:space="preserve"> </w:t>
      </w:r>
      <w:r w:rsidR="00945DD4" w:rsidRPr="0057046E">
        <w:t>23,550</w:t>
      </w:r>
      <w:r w:rsidR="00884E81" w:rsidRPr="0057046E">
        <w:t xml:space="preserve"> deaths</w:t>
      </w:r>
      <w:r w:rsidR="00884E81">
        <w:t>, or</w:t>
      </w:r>
      <w:r w:rsidR="003548C7" w:rsidRPr="0072575F">
        <w:t xml:space="preserve"> an </w:t>
      </w:r>
      <w:r w:rsidR="003548C7" w:rsidRPr="0057046E">
        <w:t xml:space="preserve">additional </w:t>
      </w:r>
      <w:r w:rsidR="00945DD4" w:rsidRPr="0057046E">
        <w:t>3,811</w:t>
      </w:r>
      <w:r w:rsidR="00945DD4">
        <w:t xml:space="preserve"> </w:t>
      </w:r>
      <w:r w:rsidR="00B6098D" w:rsidRPr="0072575F">
        <w:t>de</w:t>
      </w:r>
      <w:r w:rsidR="003548C7" w:rsidRPr="0072575F">
        <w:t>aths</w:t>
      </w:r>
      <w:r w:rsidR="00123843">
        <w:t xml:space="preserve">. </w:t>
      </w:r>
      <w:r w:rsidR="00963397">
        <w:t xml:space="preserve">Figure </w:t>
      </w:r>
      <w:r w:rsidR="00B43797">
        <w:t>1</w:t>
      </w:r>
      <w:r w:rsidR="002A0394">
        <w:t xml:space="preserve"> </w:t>
      </w:r>
      <w:r w:rsidR="00107210">
        <w:t xml:space="preserve">and Figure </w:t>
      </w:r>
      <w:r w:rsidR="002A0394">
        <w:t>2</w:t>
      </w:r>
      <w:r w:rsidR="00B43797">
        <w:t xml:space="preserve"> </w:t>
      </w:r>
      <w:r w:rsidR="00545A67">
        <w:t>compare</w:t>
      </w:r>
      <w:r w:rsidR="00884E81">
        <w:t xml:space="preserve"> the </w:t>
      </w:r>
      <w:proofErr w:type="gramStart"/>
      <w:r w:rsidR="00884E81">
        <w:t>two data</w:t>
      </w:r>
      <w:proofErr w:type="gramEnd"/>
      <w:r w:rsidR="00884E81">
        <w:t xml:space="preserve"> series by date of death. This shows</w:t>
      </w:r>
      <w:r w:rsidR="00963397">
        <w:t xml:space="preserve"> that the additional death</w:t>
      </w:r>
      <w:r w:rsidR="00F63563">
        <w:t>s</w:t>
      </w:r>
      <w:r w:rsidR="00884E81">
        <w:t xml:space="preserve"> identified in the PHE data series</w:t>
      </w:r>
      <w:r w:rsidR="00963397">
        <w:t xml:space="preserve"> do not represent a sudden increase in deaths, </w:t>
      </w:r>
      <w:r w:rsidR="00B43797">
        <w:t xml:space="preserve">but rather that </w:t>
      </w:r>
      <w:r w:rsidR="00884E81">
        <w:t xml:space="preserve">they </w:t>
      </w:r>
      <w:r w:rsidR="00963397">
        <w:t xml:space="preserve">have occurred </w:t>
      </w:r>
      <w:r w:rsidR="00884E81">
        <w:t>across</w:t>
      </w:r>
      <w:r w:rsidR="00963397">
        <w:t xml:space="preserve"> the entire </w:t>
      </w:r>
      <w:r w:rsidR="00884E81">
        <w:t>duration</w:t>
      </w:r>
      <w:r w:rsidR="00963397">
        <w:t xml:space="preserve"> of the </w:t>
      </w:r>
      <w:r w:rsidR="00260C75">
        <w:t>pandemic</w:t>
      </w:r>
      <w:r w:rsidR="00963397">
        <w:t xml:space="preserve">. </w:t>
      </w:r>
    </w:p>
    <w:p w14:paraId="19DD4479" w14:textId="77777777" w:rsidR="00797C46" w:rsidRPr="00AF0DD7" w:rsidRDefault="00797C46" w:rsidP="00797C46">
      <w:pPr>
        <w:pStyle w:val="Style2"/>
        <w:rPr>
          <w:lang w:val="en-GB"/>
        </w:rPr>
      </w:pPr>
      <w:bookmarkStart w:id="16" w:name="_Toc38900591"/>
      <w:r>
        <w:rPr>
          <w:lang w:val="en-GB"/>
        </w:rPr>
        <w:t>6.2 Where are the additional deaths coming from?</w:t>
      </w:r>
      <w:bookmarkEnd w:id="16"/>
    </w:p>
    <w:p w14:paraId="58988576" w14:textId="0ED99CC0" w:rsidR="00797C46" w:rsidRDefault="00797C46" w:rsidP="00797C46">
      <w:r>
        <w:t xml:space="preserve">The ‘additional’ deaths identified in the PHE data series include deaths outside of hospital settings and </w:t>
      </w:r>
      <w:r w:rsidR="0037367F">
        <w:t xml:space="preserve">unreported </w:t>
      </w:r>
      <w:r>
        <w:rPr>
          <w:szCs w:val="24"/>
        </w:rPr>
        <w:t xml:space="preserve">deaths in hospital settings </w:t>
      </w:r>
      <w:r w:rsidR="0037367F">
        <w:rPr>
          <w:szCs w:val="24"/>
        </w:rPr>
        <w:t xml:space="preserve">to NHS </w:t>
      </w:r>
      <w:r w:rsidR="00E871E2">
        <w:rPr>
          <w:szCs w:val="24"/>
        </w:rPr>
        <w:t>England.</w:t>
      </w:r>
      <w:r>
        <w:rPr>
          <w:szCs w:val="24"/>
        </w:rPr>
        <w:t xml:space="preserve"> Where place of death is known, we estimate </w:t>
      </w:r>
      <w:r w:rsidRPr="0057046E">
        <w:rPr>
          <w:szCs w:val="24"/>
        </w:rPr>
        <w:t xml:space="preserve">that </w:t>
      </w:r>
      <w:r w:rsidR="002D59DB" w:rsidRPr="0057046E">
        <w:rPr>
          <w:szCs w:val="24"/>
        </w:rPr>
        <w:t>70</w:t>
      </w:r>
      <w:r w:rsidRPr="0057046E">
        <w:rPr>
          <w:szCs w:val="24"/>
        </w:rPr>
        <w:t>% of the ‘additional’ deaths occurred in non-hospital settings.</w:t>
      </w:r>
      <w:r>
        <w:rPr>
          <w:szCs w:val="24"/>
        </w:rPr>
        <w:t xml:space="preserve"> </w:t>
      </w:r>
    </w:p>
    <w:p w14:paraId="0E16268D" w14:textId="77777777" w:rsidR="00E871E2" w:rsidRDefault="00E871E2" w:rsidP="00AF0DD7">
      <w:pPr>
        <w:rPr>
          <w:b/>
        </w:rPr>
      </w:pPr>
    </w:p>
    <w:p w14:paraId="403E947C" w14:textId="77777777" w:rsidR="00E871E2" w:rsidRDefault="00E871E2" w:rsidP="00AF0DD7">
      <w:pPr>
        <w:rPr>
          <w:b/>
        </w:rPr>
      </w:pPr>
    </w:p>
    <w:p w14:paraId="2D77181F" w14:textId="77777777" w:rsidR="00E871E2" w:rsidRDefault="00E871E2" w:rsidP="00AF0DD7">
      <w:pPr>
        <w:rPr>
          <w:b/>
        </w:rPr>
      </w:pPr>
    </w:p>
    <w:p w14:paraId="0B94AAC4" w14:textId="77777777" w:rsidR="00E871E2" w:rsidRDefault="00E871E2" w:rsidP="00AF0DD7">
      <w:pPr>
        <w:rPr>
          <w:b/>
        </w:rPr>
      </w:pPr>
    </w:p>
    <w:p w14:paraId="6790664B" w14:textId="77777777" w:rsidR="00E871E2" w:rsidRDefault="00E871E2" w:rsidP="00AF0DD7">
      <w:pPr>
        <w:rPr>
          <w:b/>
        </w:rPr>
      </w:pPr>
    </w:p>
    <w:p w14:paraId="077C8AEA" w14:textId="63CBBCEA" w:rsidR="00AF0DD7" w:rsidRPr="003A7B68" w:rsidRDefault="00AF0DD7" w:rsidP="00AF0DD7">
      <w:pPr>
        <w:rPr>
          <w:b/>
        </w:rPr>
      </w:pPr>
      <w:r w:rsidRPr="00107210">
        <w:rPr>
          <w:b/>
        </w:rPr>
        <w:lastRenderedPageBreak/>
        <w:t xml:space="preserve">Figure </w:t>
      </w:r>
      <w:r w:rsidR="002A0394">
        <w:rPr>
          <w:b/>
        </w:rPr>
        <w:t>1</w:t>
      </w:r>
      <w:r>
        <w:rPr>
          <w:b/>
        </w:rPr>
        <w:t xml:space="preserve">: Daily </w:t>
      </w:r>
      <w:r w:rsidR="00884E81">
        <w:rPr>
          <w:b/>
        </w:rPr>
        <w:t>number</w:t>
      </w:r>
      <w:r>
        <w:rPr>
          <w:b/>
        </w:rPr>
        <w:t xml:space="preserve"> of COVID-19 </w:t>
      </w:r>
      <w:r w:rsidR="003F2ACB">
        <w:rPr>
          <w:b/>
        </w:rPr>
        <w:t>laborator</w:t>
      </w:r>
      <w:r w:rsidR="000135F6">
        <w:rPr>
          <w:b/>
        </w:rPr>
        <w:t xml:space="preserve">y </w:t>
      </w:r>
      <w:r w:rsidR="003F2ACB">
        <w:rPr>
          <w:b/>
        </w:rPr>
        <w:t xml:space="preserve">confirmed </w:t>
      </w:r>
      <w:r>
        <w:rPr>
          <w:b/>
        </w:rPr>
        <w:t xml:space="preserve">deaths by </w:t>
      </w:r>
      <w:r w:rsidRPr="00884E81">
        <w:rPr>
          <w:b/>
          <w:u w:val="single"/>
        </w:rPr>
        <w:t>date of death</w:t>
      </w:r>
      <w:r w:rsidR="00884E81">
        <w:rPr>
          <w:b/>
        </w:rPr>
        <w:t xml:space="preserve"> </w:t>
      </w:r>
      <w:r>
        <w:rPr>
          <w:b/>
        </w:rPr>
        <w:t xml:space="preserve">and </w:t>
      </w:r>
      <w:r w:rsidR="00A92918">
        <w:rPr>
          <w:b/>
        </w:rPr>
        <w:t xml:space="preserve">data </w:t>
      </w:r>
      <w:r>
        <w:rPr>
          <w:b/>
        </w:rPr>
        <w:t>source; England</w:t>
      </w:r>
      <w:r w:rsidR="00884E81">
        <w:rPr>
          <w:b/>
        </w:rPr>
        <w:t>,</w:t>
      </w:r>
      <w:r>
        <w:rPr>
          <w:b/>
        </w:rPr>
        <w:t xml:space="preserve"> 2 Mar</w:t>
      </w:r>
      <w:r w:rsidR="00F404D0">
        <w:rPr>
          <w:b/>
        </w:rPr>
        <w:t>c</w:t>
      </w:r>
      <w:r>
        <w:rPr>
          <w:b/>
        </w:rPr>
        <w:t xml:space="preserve">h to </w:t>
      </w:r>
      <w:r w:rsidR="00884E81">
        <w:rPr>
          <w:b/>
        </w:rPr>
        <w:t>2</w:t>
      </w:r>
      <w:r w:rsidR="00F22DF1">
        <w:rPr>
          <w:b/>
        </w:rPr>
        <w:t>8</w:t>
      </w:r>
      <w:r w:rsidR="00884E81">
        <w:rPr>
          <w:b/>
        </w:rPr>
        <w:t xml:space="preserve"> </w:t>
      </w:r>
      <w:r>
        <w:rPr>
          <w:b/>
        </w:rPr>
        <w:t>April 202</w:t>
      </w:r>
      <w:r w:rsidR="00A92918">
        <w:rPr>
          <w:b/>
        </w:rPr>
        <w:t>0</w:t>
      </w:r>
    </w:p>
    <w:p w14:paraId="3F6BA8F7" w14:textId="07E2B24F" w:rsidR="00A92918" w:rsidRDefault="00F22DF1" w:rsidP="00AE47E1">
      <w:pPr>
        <w:rPr>
          <w:b/>
        </w:rPr>
      </w:pPr>
      <w:r w:rsidRPr="00F22DF1">
        <w:rPr>
          <w:noProof/>
          <w:sz w:val="18"/>
          <w:szCs w:val="18"/>
          <w:lang w:eastAsia="en-GB"/>
        </w:rPr>
        <w:drawing>
          <wp:inline distT="0" distB="0" distL="0" distR="0" wp14:anchorId="1EDF2D95" wp14:editId="23068455">
            <wp:extent cx="6443980" cy="3847795"/>
            <wp:effectExtent l="0" t="0" r="0" b="635"/>
            <wp:docPr id="6" name="Chart 6">
              <a:extLst xmlns:a="http://schemas.openxmlformats.org/drawingml/2006/main">
                <a:ext uri="{FF2B5EF4-FFF2-40B4-BE49-F238E27FC236}">
                  <a16:creationId xmlns:a16="http://schemas.microsoft.com/office/drawing/2014/main" id="{B1D1256D-1E08-4061-B020-6B8F48593E4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56ADD66C" w14:textId="38C60DB7" w:rsidR="00AE47E1" w:rsidRPr="00F169BB" w:rsidRDefault="00AE47E1" w:rsidP="00AE47E1">
      <w:r w:rsidRPr="00107210">
        <w:rPr>
          <w:b/>
        </w:rPr>
        <w:t>Figure</w:t>
      </w:r>
      <w:r w:rsidR="00AF0DD7" w:rsidRPr="00107210">
        <w:rPr>
          <w:b/>
        </w:rPr>
        <w:t xml:space="preserve"> </w:t>
      </w:r>
      <w:r w:rsidR="00A92918">
        <w:rPr>
          <w:b/>
        </w:rPr>
        <w:t>2</w:t>
      </w:r>
      <w:r>
        <w:rPr>
          <w:b/>
        </w:rPr>
        <w:t xml:space="preserve">: </w:t>
      </w:r>
      <w:r w:rsidR="00AC3992">
        <w:rPr>
          <w:b/>
        </w:rPr>
        <w:t>Cumulative n</w:t>
      </w:r>
      <w:r>
        <w:rPr>
          <w:b/>
        </w:rPr>
        <w:t>umber of COVID-19</w:t>
      </w:r>
      <w:r w:rsidR="003F2ACB">
        <w:rPr>
          <w:b/>
        </w:rPr>
        <w:t xml:space="preserve"> laboratory</w:t>
      </w:r>
      <w:r w:rsidR="000135F6">
        <w:rPr>
          <w:b/>
        </w:rPr>
        <w:t xml:space="preserve"> </w:t>
      </w:r>
      <w:r w:rsidR="003F2ACB">
        <w:rPr>
          <w:b/>
        </w:rPr>
        <w:t>confirmed</w:t>
      </w:r>
      <w:r>
        <w:rPr>
          <w:b/>
        </w:rPr>
        <w:t xml:space="preserve"> deaths reported by </w:t>
      </w:r>
      <w:r w:rsidRPr="00884E81">
        <w:rPr>
          <w:b/>
          <w:u w:val="single"/>
        </w:rPr>
        <w:t>date of death</w:t>
      </w:r>
      <w:r w:rsidR="003A7B68">
        <w:rPr>
          <w:b/>
        </w:rPr>
        <w:t xml:space="preserve"> and </w:t>
      </w:r>
      <w:r w:rsidR="00A92918">
        <w:rPr>
          <w:b/>
        </w:rPr>
        <w:t xml:space="preserve">data </w:t>
      </w:r>
      <w:r w:rsidR="003A7B68">
        <w:rPr>
          <w:b/>
        </w:rPr>
        <w:t>source</w:t>
      </w:r>
      <w:r>
        <w:rPr>
          <w:b/>
        </w:rPr>
        <w:t>; England</w:t>
      </w:r>
      <w:r w:rsidR="00A92918">
        <w:rPr>
          <w:b/>
        </w:rPr>
        <w:t>,</w:t>
      </w:r>
      <w:r>
        <w:rPr>
          <w:b/>
        </w:rPr>
        <w:t xml:space="preserve"> 2 March to </w:t>
      </w:r>
      <w:r w:rsidR="00A92918">
        <w:rPr>
          <w:b/>
        </w:rPr>
        <w:t>2</w:t>
      </w:r>
      <w:r w:rsidR="00F22DF1">
        <w:rPr>
          <w:b/>
        </w:rPr>
        <w:t>8</w:t>
      </w:r>
      <w:r>
        <w:rPr>
          <w:b/>
        </w:rPr>
        <w:t xml:space="preserve"> April 202</w:t>
      </w:r>
      <w:r w:rsidR="00A92918">
        <w:rPr>
          <w:b/>
        </w:rPr>
        <w:t>0</w:t>
      </w:r>
    </w:p>
    <w:p w14:paraId="4E3CDCAC" w14:textId="36B2A97D" w:rsidR="009455AF" w:rsidRPr="009455AF" w:rsidRDefault="00F22DF1" w:rsidP="009455AF">
      <w:pPr>
        <w:rPr>
          <w:rFonts w:ascii="Times New Roman" w:hAnsi="Times New Roman" w:cs="Times New Roman"/>
          <w:sz w:val="20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7F1D0470" wp14:editId="2F4264E6">
            <wp:extent cx="6443980" cy="4147718"/>
            <wp:effectExtent l="0" t="0" r="0" b="571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2DB86C4F-B77C-495D-8541-05B7E102A9D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253F30C0" w14:textId="260F9924" w:rsidR="00A92918" w:rsidRDefault="00884E81" w:rsidP="00884E81">
      <w:pPr>
        <w:pStyle w:val="Style2"/>
        <w:rPr>
          <w:iCs w:val="0"/>
          <w:lang w:val="en-GB"/>
        </w:rPr>
      </w:pPr>
      <w:bookmarkStart w:id="17" w:name="_Toc38900592"/>
      <w:r>
        <w:rPr>
          <w:iCs w:val="0"/>
          <w:lang w:val="en-GB"/>
        </w:rPr>
        <w:lastRenderedPageBreak/>
        <w:t>6.3</w:t>
      </w:r>
      <w:r w:rsidRPr="00AF0DD7">
        <w:rPr>
          <w:iCs w:val="0"/>
          <w:lang w:val="en-GB"/>
        </w:rPr>
        <w:t xml:space="preserve"> </w:t>
      </w:r>
      <w:r w:rsidR="00A92918">
        <w:rPr>
          <w:iCs w:val="0"/>
          <w:lang w:val="en-GB"/>
        </w:rPr>
        <w:t>Limitations of the PHE data series</w:t>
      </w:r>
      <w:bookmarkEnd w:id="17"/>
    </w:p>
    <w:p w14:paraId="3F72CEAC" w14:textId="4FC93054" w:rsidR="00A92918" w:rsidRPr="00A92918" w:rsidRDefault="00A92918" w:rsidP="00A92918">
      <w:pPr>
        <w:rPr>
          <w:szCs w:val="24"/>
        </w:rPr>
      </w:pPr>
      <w:r>
        <w:rPr>
          <w:szCs w:val="24"/>
        </w:rPr>
        <w:t xml:space="preserve">The </w:t>
      </w:r>
      <w:r w:rsidRPr="00A92918">
        <w:rPr>
          <w:szCs w:val="24"/>
        </w:rPr>
        <w:t xml:space="preserve">PHE data series does not include deaths in people where COVID-19 is suspected but </w:t>
      </w:r>
      <w:r w:rsidR="0042146D">
        <w:rPr>
          <w:szCs w:val="24"/>
        </w:rPr>
        <w:t>not confirmed by testing (either negative or not done)</w:t>
      </w:r>
      <w:r w:rsidRPr="00A92918">
        <w:rPr>
          <w:szCs w:val="24"/>
        </w:rPr>
        <w:t xml:space="preserve">. Furthermore, the PHE data series does not report cause of death, and as such represents </w:t>
      </w:r>
      <w:r w:rsidRPr="00A92918">
        <w:rPr>
          <w:i/>
          <w:szCs w:val="24"/>
        </w:rPr>
        <w:t>deaths in people with COVID-19</w:t>
      </w:r>
      <w:r w:rsidRPr="00A92918">
        <w:rPr>
          <w:szCs w:val="24"/>
        </w:rPr>
        <w:t xml:space="preserve"> and not necessarily due to COVID-19. </w:t>
      </w:r>
    </w:p>
    <w:p w14:paraId="122C406A" w14:textId="5531B6E6" w:rsidR="00884E81" w:rsidRPr="00AF0DD7" w:rsidRDefault="00A92918" w:rsidP="00884E81">
      <w:pPr>
        <w:pStyle w:val="Style2"/>
        <w:rPr>
          <w:iCs w:val="0"/>
          <w:lang w:val="en-GB"/>
        </w:rPr>
      </w:pPr>
      <w:bookmarkStart w:id="18" w:name="_Toc38900593"/>
      <w:r>
        <w:rPr>
          <w:iCs w:val="0"/>
          <w:lang w:val="en-GB"/>
        </w:rPr>
        <w:t xml:space="preserve">6.4 </w:t>
      </w:r>
      <w:r w:rsidR="00884E81" w:rsidRPr="00AF0DD7">
        <w:rPr>
          <w:iCs w:val="0"/>
          <w:lang w:val="en-GB"/>
        </w:rPr>
        <w:t xml:space="preserve">How </w:t>
      </w:r>
      <w:r w:rsidR="00884E81" w:rsidRPr="00AF0DD7">
        <w:rPr>
          <w:lang w:val="en-GB"/>
        </w:rPr>
        <w:t>does</w:t>
      </w:r>
      <w:r w:rsidR="00884E81" w:rsidRPr="00AF0DD7">
        <w:rPr>
          <w:iCs w:val="0"/>
          <w:lang w:val="en-GB"/>
        </w:rPr>
        <w:t xml:space="preserve"> </w:t>
      </w:r>
      <w:r w:rsidR="00884E81">
        <w:rPr>
          <w:iCs w:val="0"/>
          <w:lang w:val="en-GB"/>
        </w:rPr>
        <w:t>the PHE data series</w:t>
      </w:r>
      <w:r w:rsidR="00884E81" w:rsidRPr="00AF0DD7">
        <w:rPr>
          <w:iCs w:val="0"/>
          <w:lang w:val="en-GB"/>
        </w:rPr>
        <w:t xml:space="preserve"> compare</w:t>
      </w:r>
      <w:r w:rsidR="00884E81">
        <w:rPr>
          <w:iCs w:val="0"/>
          <w:lang w:val="en-GB"/>
        </w:rPr>
        <w:t xml:space="preserve"> to the ONS death registrations?</w:t>
      </w:r>
      <w:bookmarkEnd w:id="18"/>
    </w:p>
    <w:p w14:paraId="7C64AAAB" w14:textId="28B69794" w:rsidR="00A92918" w:rsidRDefault="00884E81" w:rsidP="00884E81">
      <w:r>
        <w:t>The PHE data series is used to count daily deaths</w:t>
      </w:r>
      <w:r w:rsidR="00545A67">
        <w:t xml:space="preserve"> in people with a confirmed COVID-19 test</w:t>
      </w:r>
      <w:r w:rsidR="00F005A5">
        <w:t xml:space="preserve"> in England</w:t>
      </w:r>
      <w:r w:rsidR="00545A67">
        <w:t xml:space="preserve">. </w:t>
      </w:r>
      <w:r w:rsidR="00F005A5">
        <w:t xml:space="preserve">ONS </w:t>
      </w:r>
      <w:r w:rsidR="00A92918">
        <w:t xml:space="preserve">provides a </w:t>
      </w:r>
      <w:r w:rsidR="00A92918" w:rsidRPr="00A92918">
        <w:rPr>
          <w:szCs w:val="24"/>
        </w:rPr>
        <w:t xml:space="preserve">weekly </w:t>
      </w:r>
      <w:r w:rsidR="00A92918">
        <w:rPr>
          <w:szCs w:val="24"/>
        </w:rPr>
        <w:t>count</w:t>
      </w:r>
      <w:r w:rsidR="00F005A5">
        <w:rPr>
          <w:szCs w:val="24"/>
        </w:rPr>
        <w:t xml:space="preserve"> of all deaths in England and Wales </w:t>
      </w:r>
      <w:r w:rsidR="00A92918" w:rsidRPr="00A92918">
        <w:rPr>
          <w:szCs w:val="24"/>
        </w:rPr>
        <w:t>where COVID-19 is</w:t>
      </w:r>
      <w:r w:rsidR="00F005A5">
        <w:rPr>
          <w:szCs w:val="24"/>
        </w:rPr>
        <w:t xml:space="preserve"> recorded on the death certificate</w:t>
      </w:r>
      <w:r w:rsidR="00542FD9">
        <w:rPr>
          <w:szCs w:val="24"/>
        </w:rPr>
        <w:t xml:space="preserve"> (</w:t>
      </w:r>
      <w:proofErr w:type="spellStart"/>
      <w:r w:rsidR="00542FD9">
        <w:rPr>
          <w:szCs w:val="24"/>
        </w:rPr>
        <w:t>eg</w:t>
      </w:r>
      <w:proofErr w:type="spellEnd"/>
      <w:r w:rsidR="000135F6">
        <w:rPr>
          <w:szCs w:val="24"/>
        </w:rPr>
        <w:t xml:space="preserve"> including deaths where COVID-19 was suspected based on symptoms and/or linked to an outbreak, and not limited to laboratory confirmed cases)</w:t>
      </w:r>
      <w:r w:rsidR="00F005A5">
        <w:rPr>
          <w:szCs w:val="24"/>
        </w:rPr>
        <w:t xml:space="preserve">; these are reported on an 11-day lag. </w:t>
      </w:r>
    </w:p>
    <w:p w14:paraId="06F9B57E" w14:textId="77777777" w:rsidR="00A92918" w:rsidRDefault="00A92918" w:rsidP="00884E81"/>
    <w:p w14:paraId="46AFD54F" w14:textId="050FC486" w:rsidR="00884E81" w:rsidRDefault="00B609B1" w:rsidP="00884E81">
      <w:r>
        <w:t>Figure 3 shows</w:t>
      </w:r>
      <w:r w:rsidR="00884E81">
        <w:t xml:space="preserve"> the PHE data series compared to the ONS death registrations </w:t>
      </w:r>
      <w:r>
        <w:t>and NHS England data series. The PHE data series more closely a</w:t>
      </w:r>
      <w:r w:rsidR="00857B7E">
        <w:t>ligns with the ONS data series</w:t>
      </w:r>
      <w:r>
        <w:t xml:space="preserve">, although there may be up to an additional 3,600 deaths (to 17 April) reported by ONS </w:t>
      </w:r>
      <w:r w:rsidR="00685B73">
        <w:t>which represent deaths w</w:t>
      </w:r>
      <w:r w:rsidR="000129EE">
        <w:t>h</w:t>
      </w:r>
      <w:r w:rsidR="00685B73">
        <w:t>ere</w:t>
      </w:r>
      <w:r>
        <w:t xml:space="preserve"> COVID-19 </w:t>
      </w:r>
      <w:r w:rsidR="00685B73">
        <w:t>was</w:t>
      </w:r>
      <w:r>
        <w:t xml:space="preserve"> recorded as a cause of death but there wa</w:t>
      </w:r>
      <w:r w:rsidR="00685B73">
        <w:t>s no laboratory confirmed test.</w:t>
      </w:r>
      <w:bookmarkStart w:id="19" w:name="_Hlk38893763"/>
      <w:r w:rsidR="00685B73">
        <w:t xml:space="preserve"> </w:t>
      </w:r>
      <w:r>
        <w:rPr>
          <w:szCs w:val="24"/>
        </w:rPr>
        <w:t xml:space="preserve">Going forward, as more people are being tested, </w:t>
      </w:r>
      <w:r w:rsidR="00857B7E">
        <w:rPr>
          <w:szCs w:val="24"/>
        </w:rPr>
        <w:t>the PHE</w:t>
      </w:r>
      <w:r>
        <w:rPr>
          <w:szCs w:val="24"/>
        </w:rPr>
        <w:t xml:space="preserve"> data series is likely to capture additional deaths, particularly outside hospitals. PHE are continuing to work closely with ONS and CQC to understand the number of suspected COVID-19 deaths are taking place in care home settings and the wider community.</w:t>
      </w:r>
    </w:p>
    <w:bookmarkEnd w:id="19"/>
    <w:p w14:paraId="5968E2B7" w14:textId="77777777" w:rsidR="00884E81" w:rsidRDefault="00884E81" w:rsidP="00AF0DD7">
      <w:pPr>
        <w:rPr>
          <w:b/>
        </w:rPr>
      </w:pPr>
    </w:p>
    <w:p w14:paraId="51067290" w14:textId="1FFE8B87" w:rsidR="00EF6756" w:rsidRDefault="00732C89" w:rsidP="00AF0DD7">
      <w:pPr>
        <w:rPr>
          <w:b/>
        </w:rPr>
      </w:pPr>
      <w:r w:rsidRPr="00107210">
        <w:rPr>
          <w:b/>
        </w:rPr>
        <w:t xml:space="preserve">Figure </w:t>
      </w:r>
      <w:r w:rsidR="002A0394">
        <w:rPr>
          <w:b/>
        </w:rPr>
        <w:t>3</w:t>
      </w:r>
      <w:r w:rsidRPr="00107210">
        <w:rPr>
          <w:b/>
        </w:rPr>
        <w:t>: Comparison of cum</w:t>
      </w:r>
      <w:r w:rsidR="007E52D7">
        <w:rPr>
          <w:b/>
        </w:rPr>
        <w:t>ulative deaths by date of death</w:t>
      </w:r>
      <w:r w:rsidRPr="00107210">
        <w:rPr>
          <w:b/>
        </w:rPr>
        <w:t xml:space="preserve"> and source: NHS England</w:t>
      </w:r>
      <w:r w:rsidR="000135F6">
        <w:rPr>
          <w:b/>
        </w:rPr>
        <w:t xml:space="preserve"> (</w:t>
      </w:r>
      <w:r w:rsidR="00B609B1">
        <w:rPr>
          <w:b/>
        </w:rPr>
        <w:t>lab</w:t>
      </w:r>
      <w:r w:rsidR="000135F6">
        <w:rPr>
          <w:b/>
        </w:rPr>
        <w:t xml:space="preserve"> </w:t>
      </w:r>
      <w:r w:rsidR="003F2ACB">
        <w:rPr>
          <w:b/>
        </w:rPr>
        <w:t>confirmed</w:t>
      </w:r>
      <w:r w:rsidR="00F005A5">
        <w:rPr>
          <w:b/>
        </w:rPr>
        <w:t xml:space="preserve"> COVID-19</w:t>
      </w:r>
      <w:r w:rsidR="003F2ACB">
        <w:rPr>
          <w:b/>
        </w:rPr>
        <w:t>)</w:t>
      </w:r>
      <w:r w:rsidRPr="00107210">
        <w:rPr>
          <w:b/>
        </w:rPr>
        <w:t xml:space="preserve">, PHE combined </w:t>
      </w:r>
      <w:r w:rsidR="000135F6">
        <w:rPr>
          <w:b/>
        </w:rPr>
        <w:t xml:space="preserve">(laboratory </w:t>
      </w:r>
      <w:r w:rsidR="003F2ACB">
        <w:rPr>
          <w:b/>
        </w:rPr>
        <w:t>confirmed</w:t>
      </w:r>
      <w:r w:rsidR="00F005A5">
        <w:rPr>
          <w:b/>
        </w:rPr>
        <w:t xml:space="preserve"> COVID-19</w:t>
      </w:r>
      <w:r w:rsidR="003F2ACB">
        <w:rPr>
          <w:b/>
        </w:rPr>
        <w:t xml:space="preserve">) </w:t>
      </w:r>
      <w:r w:rsidRPr="00107210">
        <w:rPr>
          <w:b/>
        </w:rPr>
        <w:t>and ONS death registrations</w:t>
      </w:r>
      <w:r w:rsidR="003F2ACB">
        <w:rPr>
          <w:b/>
        </w:rPr>
        <w:t xml:space="preserve"> (</w:t>
      </w:r>
      <w:r w:rsidR="00F005A5">
        <w:rPr>
          <w:b/>
        </w:rPr>
        <w:t xml:space="preserve">both </w:t>
      </w:r>
      <w:r w:rsidR="003F2ACB">
        <w:rPr>
          <w:b/>
        </w:rPr>
        <w:t xml:space="preserve">confirmed </w:t>
      </w:r>
      <w:r w:rsidR="00F005A5">
        <w:rPr>
          <w:b/>
        </w:rPr>
        <w:t>and unconfirmed COVID-19</w:t>
      </w:r>
      <w:r w:rsidR="003F2ACB">
        <w:rPr>
          <w:b/>
        </w:rPr>
        <w:t>)</w:t>
      </w:r>
      <w:r w:rsidRPr="00107210">
        <w:rPr>
          <w:b/>
        </w:rPr>
        <w:t>, England</w:t>
      </w:r>
    </w:p>
    <w:p w14:paraId="374092A1" w14:textId="23308499" w:rsidR="00EF6756" w:rsidRDefault="00EF6756" w:rsidP="00AF0DD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175BAF36" wp14:editId="3E0F0019">
            <wp:extent cx="6301105" cy="4348480"/>
            <wp:effectExtent l="0" t="0" r="4445" b="0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50C3A867-B68F-4264-8C0B-639B4A5446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3B06DD0A" w14:textId="255C702F" w:rsidR="00542FD9" w:rsidRPr="00732C89" w:rsidRDefault="00542FD9" w:rsidP="00AF0DD7">
      <w:pPr>
        <w:rPr>
          <w:b/>
        </w:rPr>
      </w:pPr>
    </w:p>
    <w:p w14:paraId="53DA3591" w14:textId="1878872C" w:rsidR="006930BA" w:rsidRDefault="00797C46" w:rsidP="00797C46">
      <w:pPr>
        <w:pStyle w:val="Style1"/>
        <w:rPr>
          <w:rStyle w:val="PHEFrontpagemaintitle"/>
        </w:rPr>
      </w:pPr>
      <w:bookmarkStart w:id="20" w:name="_Toc38900594"/>
      <w:r>
        <w:rPr>
          <w:rStyle w:val="PHEFrontpagemaintitle"/>
        </w:rPr>
        <w:t>Fr</w:t>
      </w:r>
      <w:r w:rsidR="00C33F94" w:rsidRPr="00040C25">
        <w:rPr>
          <w:rStyle w:val="PHEFrontpagemaintitle"/>
        </w:rPr>
        <w:t>equently asked questions</w:t>
      </w:r>
      <w:bookmarkEnd w:id="20"/>
    </w:p>
    <w:p w14:paraId="1B20C107" w14:textId="77777777" w:rsidR="000135F6" w:rsidRDefault="000135F6" w:rsidP="000135F6">
      <w:pPr>
        <w:pStyle w:val="Style1"/>
        <w:numPr>
          <w:ilvl w:val="0"/>
          <w:numId w:val="0"/>
        </w:numPr>
        <w:rPr>
          <w:rStyle w:val="PHEFrontpagemaintitle"/>
        </w:rPr>
      </w:pPr>
    </w:p>
    <w:p w14:paraId="49C7104B" w14:textId="7ECEFFEC" w:rsidR="00A92918" w:rsidRDefault="00A92918" w:rsidP="00B6098D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bookmarkStart w:id="21" w:name="_Hlk38893182"/>
      <w:r>
        <w:rPr>
          <w:rFonts w:ascii="Arial" w:hAnsi="Arial" w:cs="Arial"/>
          <w:b/>
          <w:sz w:val="24"/>
          <w:szCs w:val="24"/>
        </w:rPr>
        <w:t>Were we under-estimating deaths before this?</w:t>
      </w:r>
    </w:p>
    <w:p w14:paraId="61A2DEDC" w14:textId="7344517C" w:rsidR="00A92918" w:rsidRDefault="00A92918" w:rsidP="00A92918">
      <w:pPr>
        <w:rPr>
          <w:szCs w:val="24"/>
        </w:rPr>
      </w:pPr>
      <w:r>
        <w:rPr>
          <w:szCs w:val="24"/>
        </w:rPr>
        <w:t xml:space="preserve">To date, the England focus on hospital deaths was </w:t>
      </w:r>
      <w:r w:rsidRPr="00A92918">
        <w:rPr>
          <w:szCs w:val="24"/>
        </w:rPr>
        <w:t>the best way to give a consistent</w:t>
      </w:r>
      <w:r>
        <w:rPr>
          <w:szCs w:val="24"/>
        </w:rPr>
        <w:t>,</w:t>
      </w:r>
      <w:r w:rsidRPr="00A92918">
        <w:rPr>
          <w:szCs w:val="24"/>
        </w:rPr>
        <w:t xml:space="preserve"> reliable </w:t>
      </w:r>
      <w:r w:rsidR="00F005A5">
        <w:rPr>
          <w:szCs w:val="24"/>
        </w:rPr>
        <w:t>number</w:t>
      </w:r>
      <w:r w:rsidRPr="00A92918">
        <w:rPr>
          <w:szCs w:val="24"/>
        </w:rPr>
        <w:t xml:space="preserve"> </w:t>
      </w:r>
      <w:proofErr w:type="gramStart"/>
      <w:r w:rsidRPr="00A92918">
        <w:rPr>
          <w:szCs w:val="24"/>
        </w:rPr>
        <w:t>on a daily basis</w:t>
      </w:r>
      <w:proofErr w:type="gramEnd"/>
      <w:r>
        <w:rPr>
          <w:szCs w:val="24"/>
        </w:rPr>
        <w:t xml:space="preserve">. The PHE data series was developed to provide a broader measure of COVID-19 deaths in England by counting deaths in anyone with a laboratory confirmed COVID-19 test </w:t>
      </w:r>
      <w:r w:rsidR="00545A67">
        <w:rPr>
          <w:szCs w:val="24"/>
        </w:rPr>
        <w:t>through</w:t>
      </w:r>
      <w:r>
        <w:rPr>
          <w:szCs w:val="24"/>
        </w:rPr>
        <w:t xml:space="preserve"> combining multiple data sources. As of</w:t>
      </w:r>
      <w:r w:rsidRPr="00107210">
        <w:rPr>
          <w:szCs w:val="24"/>
        </w:rPr>
        <w:t xml:space="preserve"> </w:t>
      </w:r>
      <w:r>
        <w:rPr>
          <w:szCs w:val="24"/>
        </w:rPr>
        <w:t xml:space="preserve">5pm on </w:t>
      </w:r>
      <w:r w:rsidR="00EE15E4">
        <w:rPr>
          <w:szCs w:val="24"/>
        </w:rPr>
        <w:t>2</w:t>
      </w:r>
      <w:r w:rsidR="004533D8">
        <w:rPr>
          <w:szCs w:val="24"/>
        </w:rPr>
        <w:t>8</w:t>
      </w:r>
      <w:r w:rsidR="00EE15E4">
        <w:rPr>
          <w:szCs w:val="24"/>
        </w:rPr>
        <w:t xml:space="preserve"> </w:t>
      </w:r>
      <w:r w:rsidRPr="00107210">
        <w:rPr>
          <w:szCs w:val="24"/>
        </w:rPr>
        <w:t>April 2020</w:t>
      </w:r>
      <w:r>
        <w:rPr>
          <w:szCs w:val="24"/>
        </w:rPr>
        <w:t xml:space="preserve">, </w:t>
      </w:r>
      <w:r w:rsidR="00996F8F">
        <w:rPr>
          <w:szCs w:val="24"/>
        </w:rPr>
        <w:t xml:space="preserve">the PHE data series </w:t>
      </w:r>
      <w:r w:rsidR="00996F8F" w:rsidRPr="0057046E">
        <w:rPr>
          <w:szCs w:val="24"/>
        </w:rPr>
        <w:t xml:space="preserve">counted </w:t>
      </w:r>
      <w:r w:rsidR="00285190" w:rsidRPr="0057046E">
        <w:rPr>
          <w:szCs w:val="24"/>
        </w:rPr>
        <w:t>23,550</w:t>
      </w:r>
      <w:r w:rsidR="00996F8F" w:rsidRPr="0057046E">
        <w:rPr>
          <w:szCs w:val="24"/>
        </w:rPr>
        <w:t xml:space="preserve"> deaths</w:t>
      </w:r>
      <w:r w:rsidR="00996F8F">
        <w:rPr>
          <w:szCs w:val="24"/>
        </w:rPr>
        <w:t xml:space="preserve"> in people with COV</w:t>
      </w:r>
      <w:r w:rsidR="00F005A5">
        <w:rPr>
          <w:szCs w:val="24"/>
        </w:rPr>
        <w:t>I</w:t>
      </w:r>
      <w:r w:rsidR="00996F8F">
        <w:rPr>
          <w:szCs w:val="24"/>
        </w:rPr>
        <w:t xml:space="preserve">D-19, </w:t>
      </w:r>
      <w:r w:rsidR="00996F8F" w:rsidRPr="0057046E">
        <w:rPr>
          <w:szCs w:val="24"/>
        </w:rPr>
        <w:t>which is</w:t>
      </w:r>
      <w:r w:rsidRPr="0057046E">
        <w:rPr>
          <w:szCs w:val="24"/>
        </w:rPr>
        <w:t xml:space="preserve"> </w:t>
      </w:r>
      <w:r w:rsidR="00285190" w:rsidRPr="0057046E">
        <w:rPr>
          <w:szCs w:val="24"/>
        </w:rPr>
        <w:t>3,811</w:t>
      </w:r>
      <w:r w:rsidRPr="0057046E">
        <w:rPr>
          <w:szCs w:val="24"/>
        </w:rPr>
        <w:t xml:space="preserve"> more</w:t>
      </w:r>
      <w:r>
        <w:rPr>
          <w:szCs w:val="24"/>
        </w:rPr>
        <w:t xml:space="preserve"> </w:t>
      </w:r>
      <w:r w:rsidRPr="00B6098D">
        <w:rPr>
          <w:szCs w:val="24"/>
        </w:rPr>
        <w:t xml:space="preserve">COVID-19 deaths </w:t>
      </w:r>
      <w:r w:rsidR="00996F8F">
        <w:rPr>
          <w:szCs w:val="24"/>
        </w:rPr>
        <w:t>compared to</w:t>
      </w:r>
      <w:r>
        <w:rPr>
          <w:szCs w:val="24"/>
        </w:rPr>
        <w:t xml:space="preserve"> the current </w:t>
      </w:r>
      <w:r w:rsidR="00996F8F">
        <w:rPr>
          <w:szCs w:val="24"/>
        </w:rPr>
        <w:t>hospital-only data series.</w:t>
      </w:r>
    </w:p>
    <w:p w14:paraId="0E118889" w14:textId="77777777" w:rsidR="00A92918" w:rsidRPr="00A92918" w:rsidRDefault="00A92918" w:rsidP="00A92918">
      <w:pPr>
        <w:rPr>
          <w:b/>
          <w:szCs w:val="24"/>
        </w:rPr>
      </w:pPr>
    </w:p>
    <w:bookmarkEnd w:id="21"/>
    <w:p w14:paraId="59896B4D" w14:textId="2F181414" w:rsidR="006930BA" w:rsidRPr="00B6098D" w:rsidRDefault="006930BA" w:rsidP="00B6098D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B6098D">
        <w:rPr>
          <w:rFonts w:ascii="Arial" w:hAnsi="Arial" w:cs="Arial"/>
          <w:b/>
          <w:sz w:val="24"/>
          <w:szCs w:val="24"/>
        </w:rPr>
        <w:t xml:space="preserve">Where have </w:t>
      </w:r>
      <w:r w:rsidR="00526E17" w:rsidRPr="00B6098D">
        <w:rPr>
          <w:rFonts w:ascii="Arial" w:hAnsi="Arial" w:cs="Arial"/>
          <w:b/>
          <w:sz w:val="24"/>
          <w:szCs w:val="24"/>
        </w:rPr>
        <w:t>these</w:t>
      </w:r>
      <w:r w:rsidRPr="00B6098D">
        <w:rPr>
          <w:rFonts w:ascii="Arial" w:hAnsi="Arial" w:cs="Arial"/>
          <w:b/>
          <w:sz w:val="24"/>
          <w:szCs w:val="24"/>
        </w:rPr>
        <w:t xml:space="preserve"> data come from?</w:t>
      </w:r>
    </w:p>
    <w:p w14:paraId="07E6418B" w14:textId="0CEC89C3" w:rsidR="006930BA" w:rsidRPr="00B6098D" w:rsidRDefault="003548C7" w:rsidP="00B6098D">
      <w:pPr>
        <w:rPr>
          <w:szCs w:val="24"/>
        </w:rPr>
      </w:pPr>
      <w:r>
        <w:rPr>
          <w:szCs w:val="24"/>
        </w:rPr>
        <w:t>These data</w:t>
      </w:r>
      <w:r w:rsidR="006930BA" w:rsidRPr="00B6098D">
        <w:rPr>
          <w:szCs w:val="24"/>
        </w:rPr>
        <w:t xml:space="preserve"> are now </w:t>
      </w:r>
      <w:r>
        <w:rPr>
          <w:szCs w:val="24"/>
        </w:rPr>
        <w:t>collected and combined from</w:t>
      </w:r>
      <w:r w:rsidR="006930BA" w:rsidRPr="00B6098D">
        <w:rPr>
          <w:szCs w:val="24"/>
        </w:rPr>
        <w:t xml:space="preserve"> data sources: hospitals, local </w:t>
      </w:r>
      <w:r w:rsidR="00F005A5">
        <w:rPr>
          <w:szCs w:val="24"/>
        </w:rPr>
        <w:t>Health Protection Teams</w:t>
      </w:r>
      <w:r>
        <w:rPr>
          <w:szCs w:val="24"/>
        </w:rPr>
        <w:t xml:space="preserve"> and</w:t>
      </w:r>
      <w:r w:rsidR="00526E17" w:rsidRPr="00B6098D">
        <w:rPr>
          <w:szCs w:val="24"/>
        </w:rPr>
        <w:t xml:space="preserve"> automated </w:t>
      </w:r>
      <w:r>
        <w:rPr>
          <w:szCs w:val="24"/>
        </w:rPr>
        <w:t xml:space="preserve">laboratory </w:t>
      </w:r>
      <w:r w:rsidR="00526E17" w:rsidRPr="00B6098D">
        <w:rPr>
          <w:szCs w:val="24"/>
        </w:rPr>
        <w:t>systems</w:t>
      </w:r>
      <w:r>
        <w:rPr>
          <w:szCs w:val="24"/>
        </w:rPr>
        <w:t>.</w:t>
      </w:r>
      <w:r w:rsidR="006930BA" w:rsidRPr="00B6098D">
        <w:rPr>
          <w:szCs w:val="24"/>
        </w:rPr>
        <w:t xml:space="preserve"> </w:t>
      </w:r>
      <w:r w:rsidR="005812DC">
        <w:rPr>
          <w:szCs w:val="24"/>
        </w:rPr>
        <w:t xml:space="preserve">It means we can now also </w:t>
      </w:r>
      <w:r w:rsidR="005812DC" w:rsidRPr="00B6098D">
        <w:rPr>
          <w:szCs w:val="24"/>
        </w:rPr>
        <w:t xml:space="preserve">include deaths </w:t>
      </w:r>
      <w:r w:rsidR="00996F8F">
        <w:rPr>
          <w:szCs w:val="24"/>
        </w:rPr>
        <w:t>in anyone with a confirmed COVID-19 test which occur</w:t>
      </w:r>
      <w:r w:rsidR="00545A67">
        <w:rPr>
          <w:szCs w:val="24"/>
        </w:rPr>
        <w:t xml:space="preserve"> in</w:t>
      </w:r>
      <w:r w:rsidR="005812DC" w:rsidRPr="00B6098D">
        <w:rPr>
          <w:szCs w:val="24"/>
        </w:rPr>
        <w:t xml:space="preserve"> hospitals, c</w:t>
      </w:r>
      <w:r w:rsidR="00996F8F">
        <w:rPr>
          <w:szCs w:val="24"/>
        </w:rPr>
        <w:t>are homes and any other setting</w:t>
      </w:r>
      <w:r w:rsidR="005812DC" w:rsidRPr="00B6098D">
        <w:rPr>
          <w:szCs w:val="24"/>
        </w:rPr>
        <w:t xml:space="preserve">. </w:t>
      </w:r>
      <w:r w:rsidR="006930BA" w:rsidRPr="00B6098D">
        <w:rPr>
          <w:szCs w:val="24"/>
        </w:rPr>
        <w:t xml:space="preserve">Using multiple sources means we are much less likely to </w:t>
      </w:r>
      <w:r w:rsidR="00F005A5">
        <w:rPr>
          <w:szCs w:val="24"/>
        </w:rPr>
        <w:t>miss</w:t>
      </w:r>
      <w:r w:rsidR="006930BA" w:rsidRPr="00B6098D">
        <w:rPr>
          <w:szCs w:val="24"/>
        </w:rPr>
        <w:t xml:space="preserve"> deaths.</w:t>
      </w:r>
      <w:r w:rsidR="009606A3">
        <w:rPr>
          <w:szCs w:val="24"/>
        </w:rPr>
        <w:t xml:space="preserve"> </w:t>
      </w:r>
      <w:r w:rsidR="00857B7E">
        <w:t>Data</w:t>
      </w:r>
      <w:r w:rsidR="00857B7E" w:rsidRPr="00686B23">
        <w:t xml:space="preserve"> are checked </w:t>
      </w:r>
      <w:r w:rsidR="00857B7E">
        <w:t>to</w:t>
      </w:r>
      <w:r w:rsidR="00857B7E" w:rsidRPr="00686B23">
        <w:t xml:space="preserve"> and ensure a person who died is not counted twice.</w:t>
      </w:r>
    </w:p>
    <w:p w14:paraId="55EED4F0" w14:textId="45DA1DAF" w:rsidR="00526E17" w:rsidRPr="00B6098D" w:rsidRDefault="00526E17" w:rsidP="00B6098D">
      <w:pPr>
        <w:rPr>
          <w:szCs w:val="24"/>
        </w:rPr>
      </w:pPr>
    </w:p>
    <w:p w14:paraId="496E0D4C" w14:textId="497D7BD1" w:rsidR="00B6098D" w:rsidRPr="00B6098D" w:rsidRDefault="00B6098D" w:rsidP="000478D7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Does</w:t>
      </w:r>
      <w:r w:rsidRPr="00B6098D">
        <w:rPr>
          <w:rFonts w:ascii="Arial" w:hAnsi="Arial" w:cs="Arial"/>
          <w:b/>
          <w:sz w:val="24"/>
          <w:szCs w:val="24"/>
        </w:rPr>
        <w:t xml:space="preserve"> this mean that COVID-19 epidemic is getting worse?</w:t>
      </w:r>
    </w:p>
    <w:p w14:paraId="5BB1A75A" w14:textId="34314963" w:rsidR="00B6098D" w:rsidRPr="00857B7E" w:rsidRDefault="00B6098D" w:rsidP="00B6098D">
      <w:pPr>
        <w:rPr>
          <w:rFonts w:eastAsiaTheme="minorHAnsi"/>
        </w:rPr>
      </w:pPr>
      <w:r w:rsidRPr="00B6098D">
        <w:rPr>
          <w:rFonts w:eastAsiaTheme="minorHAnsi"/>
          <w:szCs w:val="24"/>
        </w:rPr>
        <w:t xml:space="preserve">No. </w:t>
      </w:r>
      <w:r w:rsidR="00857B7E" w:rsidRPr="00B6098D">
        <w:rPr>
          <w:rFonts w:eastAsiaTheme="minorHAnsi"/>
        </w:rPr>
        <w:t xml:space="preserve">The additional </w:t>
      </w:r>
      <w:r w:rsidR="00857B7E">
        <w:rPr>
          <w:rFonts w:eastAsiaTheme="minorHAnsi"/>
        </w:rPr>
        <w:t xml:space="preserve">deaths have occurred over the length of the epidemic. We have published the new series, going back to 2 March 2020 to show how this new count relates to the old one. This does not represent a new surge in the number of deaths. </w:t>
      </w:r>
    </w:p>
    <w:p w14:paraId="5FFE71C7" w14:textId="77777777" w:rsidR="00526E17" w:rsidRPr="00B6098D" w:rsidRDefault="00526E17" w:rsidP="00B6098D">
      <w:pPr>
        <w:rPr>
          <w:rFonts w:eastAsiaTheme="minorHAnsi"/>
          <w:szCs w:val="24"/>
        </w:rPr>
      </w:pPr>
    </w:p>
    <w:p w14:paraId="1DDA690F" w14:textId="49D66BA6" w:rsidR="00526E17" w:rsidRPr="00595A16" w:rsidRDefault="00526E17" w:rsidP="00B6098D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595A16">
        <w:rPr>
          <w:rFonts w:ascii="Arial" w:hAnsi="Arial" w:cs="Arial"/>
          <w:b/>
          <w:sz w:val="24"/>
          <w:szCs w:val="24"/>
        </w:rPr>
        <w:t xml:space="preserve">Why haven’t you published </w:t>
      </w:r>
      <w:r w:rsidR="00B6098D" w:rsidRPr="00595A16">
        <w:rPr>
          <w:rFonts w:ascii="Arial" w:hAnsi="Arial" w:cs="Arial"/>
          <w:b/>
          <w:sz w:val="24"/>
          <w:szCs w:val="24"/>
        </w:rPr>
        <w:t>these</w:t>
      </w:r>
      <w:r w:rsidRPr="00595A16">
        <w:rPr>
          <w:rFonts w:ascii="Arial" w:hAnsi="Arial" w:cs="Arial"/>
          <w:b/>
          <w:sz w:val="24"/>
          <w:szCs w:val="24"/>
        </w:rPr>
        <w:t xml:space="preserve"> data sooner?</w:t>
      </w:r>
    </w:p>
    <w:p w14:paraId="79C5B475" w14:textId="54F14168" w:rsidR="007B6AE0" w:rsidRPr="00B6098D" w:rsidRDefault="00526E17" w:rsidP="007B6AE0">
      <w:r w:rsidRPr="00B6098D">
        <w:rPr>
          <w:szCs w:val="24"/>
        </w:rPr>
        <w:t>To date, only COVID-19 deaths occurring in hospitals have been reported.</w:t>
      </w:r>
      <w:r w:rsidR="009606A3">
        <w:rPr>
          <w:szCs w:val="24"/>
        </w:rPr>
        <w:t xml:space="preserve"> </w:t>
      </w:r>
      <w:r w:rsidR="007B6AE0">
        <w:t>Collating data across all sectors is technically difficult and challenging. It just isn’t possible to get a daily count of deaths from every care home and residence in the country, so this has been done by bringing together a range of existing data systems. It is important to get the numbers right. Together with DHSC, PHE</w:t>
      </w:r>
      <w:r w:rsidR="007B6AE0" w:rsidRPr="00B6098D">
        <w:t xml:space="preserve"> have </w:t>
      </w:r>
      <w:r w:rsidR="007B6AE0">
        <w:t>undertaken rigorous</w:t>
      </w:r>
      <w:r w:rsidR="007B6AE0" w:rsidRPr="00B6098D">
        <w:t xml:space="preserve"> </w:t>
      </w:r>
      <w:r w:rsidR="007B6AE0">
        <w:t xml:space="preserve">validation and quality assurance of the PHE data series of combining </w:t>
      </w:r>
      <w:r w:rsidR="007B6AE0" w:rsidRPr="00B6098D">
        <w:t xml:space="preserve">deaths from </w:t>
      </w:r>
      <w:r w:rsidR="007B6AE0">
        <w:t>multiple</w:t>
      </w:r>
      <w:r w:rsidR="007B6AE0" w:rsidRPr="00B6098D">
        <w:t xml:space="preserve"> sources to </w:t>
      </w:r>
      <w:r w:rsidR="007B6AE0">
        <w:t>understand</w:t>
      </w:r>
      <w:r w:rsidR="007B6AE0" w:rsidRPr="00B6098D">
        <w:t xml:space="preserve"> how many additional COVID-19 deaths </w:t>
      </w:r>
      <w:r w:rsidR="007B6AE0">
        <w:t>are captured</w:t>
      </w:r>
      <w:r w:rsidR="007B6AE0" w:rsidRPr="00B6098D">
        <w:t xml:space="preserve">. </w:t>
      </w:r>
    </w:p>
    <w:p w14:paraId="13354894" w14:textId="5D935F8E" w:rsidR="00B6098D" w:rsidRPr="00B6098D" w:rsidRDefault="00B6098D" w:rsidP="00B6098D">
      <w:pPr>
        <w:rPr>
          <w:rStyle w:val="PHEFrontpagemaintitle"/>
          <w:rFonts w:cs="Arial"/>
          <w:sz w:val="24"/>
          <w:szCs w:val="24"/>
        </w:rPr>
      </w:pPr>
    </w:p>
    <w:p w14:paraId="7F77F064" w14:textId="7DA44091" w:rsidR="00526E17" w:rsidRPr="000478D7" w:rsidRDefault="00526E17" w:rsidP="00B6098D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0478D7">
        <w:rPr>
          <w:rFonts w:ascii="Arial" w:hAnsi="Arial" w:cs="Arial"/>
          <w:b/>
          <w:sz w:val="24"/>
          <w:szCs w:val="24"/>
        </w:rPr>
        <w:t>Does this represent everyone in the country who has died from COVID-19?</w:t>
      </w:r>
    </w:p>
    <w:p w14:paraId="374E3945" w14:textId="02EDA940" w:rsidR="00526E17" w:rsidRDefault="009F5A6B" w:rsidP="00B6098D">
      <w:pPr>
        <w:rPr>
          <w:szCs w:val="24"/>
        </w:rPr>
      </w:pPr>
      <w:r>
        <w:rPr>
          <w:szCs w:val="24"/>
        </w:rPr>
        <w:t xml:space="preserve">This dataset includes all deaths in people </w:t>
      </w:r>
      <w:r w:rsidR="000135F6">
        <w:rPr>
          <w:szCs w:val="24"/>
        </w:rPr>
        <w:t>who had</w:t>
      </w:r>
      <w:r>
        <w:rPr>
          <w:szCs w:val="24"/>
        </w:rPr>
        <w:t xml:space="preserve"> a </w:t>
      </w:r>
      <w:r w:rsidR="000135F6">
        <w:rPr>
          <w:szCs w:val="24"/>
        </w:rPr>
        <w:t>positive</w:t>
      </w:r>
      <w:r>
        <w:rPr>
          <w:szCs w:val="24"/>
        </w:rPr>
        <w:t xml:space="preserve"> COVID-19 test </w:t>
      </w:r>
      <w:bookmarkStart w:id="22" w:name="_Hlk38893438"/>
      <w:r w:rsidR="00030CF4" w:rsidRPr="00030CF4">
        <w:rPr>
          <w:szCs w:val="24"/>
        </w:rPr>
        <w:t>in Public Health and NHS laboratories</w:t>
      </w:r>
      <w:bookmarkEnd w:id="22"/>
      <w:r w:rsidR="007B6AE0">
        <w:rPr>
          <w:szCs w:val="24"/>
        </w:rPr>
        <w:t xml:space="preserve"> in England</w:t>
      </w:r>
      <w:r>
        <w:rPr>
          <w:szCs w:val="24"/>
        </w:rPr>
        <w:t>.</w:t>
      </w:r>
      <w:r w:rsidR="009606A3">
        <w:rPr>
          <w:szCs w:val="24"/>
        </w:rPr>
        <w:t xml:space="preserve"> </w:t>
      </w:r>
      <w:r w:rsidR="00526E17" w:rsidRPr="00B6098D">
        <w:rPr>
          <w:szCs w:val="24"/>
        </w:rPr>
        <w:t xml:space="preserve">Combining deaths from </w:t>
      </w:r>
      <w:r w:rsidR="005812DC">
        <w:rPr>
          <w:szCs w:val="24"/>
        </w:rPr>
        <w:t>multiple</w:t>
      </w:r>
      <w:r w:rsidR="00526E17" w:rsidRPr="00B6098D">
        <w:rPr>
          <w:szCs w:val="24"/>
        </w:rPr>
        <w:t xml:space="preserve"> sources reduces the risk </w:t>
      </w:r>
      <w:r>
        <w:rPr>
          <w:szCs w:val="24"/>
        </w:rPr>
        <w:t>of underreporting compared to the current data series</w:t>
      </w:r>
      <w:r w:rsidR="00526E17" w:rsidRPr="00B6098D">
        <w:rPr>
          <w:szCs w:val="24"/>
        </w:rPr>
        <w:t>.</w:t>
      </w:r>
      <w:r>
        <w:rPr>
          <w:szCs w:val="24"/>
        </w:rPr>
        <w:t xml:space="preserve"> However, this data series does not include deaths in people </w:t>
      </w:r>
      <w:r w:rsidR="007B6AE0">
        <w:rPr>
          <w:szCs w:val="24"/>
        </w:rPr>
        <w:t>who had</w:t>
      </w:r>
      <w:r>
        <w:rPr>
          <w:szCs w:val="24"/>
        </w:rPr>
        <w:t xml:space="preserve"> suspected COVID-19 but were never tested, for example those linked to an outbreak</w:t>
      </w:r>
      <w:r w:rsidR="00DD187D">
        <w:rPr>
          <w:szCs w:val="24"/>
        </w:rPr>
        <w:t xml:space="preserve"> </w:t>
      </w:r>
      <w:r w:rsidR="007B6AE0">
        <w:rPr>
          <w:szCs w:val="24"/>
        </w:rPr>
        <w:t>or</w:t>
      </w:r>
      <w:r>
        <w:rPr>
          <w:szCs w:val="24"/>
        </w:rPr>
        <w:t xml:space="preserve"> had COVID-19 symptoms at the time of death. </w:t>
      </w:r>
      <w:bookmarkStart w:id="23" w:name="_Hlk38893498"/>
      <w:r w:rsidR="007B6AE0">
        <w:t xml:space="preserve">These deaths will be identified over time through ONS death registrations. </w:t>
      </w:r>
      <w:r w:rsidR="000135F6">
        <w:rPr>
          <w:szCs w:val="24"/>
        </w:rPr>
        <w:t xml:space="preserve">Going forward, as more people are being tested, this data series is likely to capture additional deaths, particularly outside hospitals. </w:t>
      </w:r>
      <w:r w:rsidR="003B6E5E" w:rsidRPr="002A17F7">
        <w:t xml:space="preserve">Options to </w:t>
      </w:r>
      <w:r w:rsidR="000135F6">
        <w:t xml:space="preserve">test post-mortem samples </w:t>
      </w:r>
      <w:r w:rsidR="003B6E5E" w:rsidRPr="002A17F7">
        <w:t xml:space="preserve">where no testing has been undertaken are being explored </w:t>
      </w:r>
      <w:r w:rsidR="00F63563" w:rsidRPr="002A17F7">
        <w:t>to</w:t>
      </w:r>
      <w:r w:rsidR="003B6E5E" w:rsidRPr="002A17F7">
        <w:t xml:space="preserve"> improve the accuracy of death reporting</w:t>
      </w:r>
      <w:r w:rsidR="003B6E5E">
        <w:t>.</w:t>
      </w:r>
    </w:p>
    <w:bookmarkEnd w:id="23"/>
    <w:p w14:paraId="36B0490E" w14:textId="77777777" w:rsidR="00FC341D" w:rsidRPr="00B6098D" w:rsidRDefault="00FC341D" w:rsidP="00B6098D">
      <w:pPr>
        <w:rPr>
          <w:szCs w:val="24"/>
        </w:rPr>
      </w:pPr>
    </w:p>
    <w:p w14:paraId="60685460" w14:textId="438BFEC6" w:rsidR="00526E17" w:rsidRPr="000478D7" w:rsidRDefault="00526E17" w:rsidP="000478D7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0478D7">
        <w:rPr>
          <w:rFonts w:ascii="Arial" w:hAnsi="Arial" w:cs="Arial"/>
          <w:b/>
          <w:sz w:val="24"/>
          <w:szCs w:val="24"/>
        </w:rPr>
        <w:t>If deaths are being reported from several sources, are we over counting deaths?</w:t>
      </w:r>
    </w:p>
    <w:p w14:paraId="1D79BEB2" w14:textId="7FE8CF1E" w:rsidR="00526E17" w:rsidRPr="00B6098D" w:rsidRDefault="00526E17" w:rsidP="00B6098D">
      <w:pPr>
        <w:rPr>
          <w:rFonts w:eastAsiaTheme="minorHAnsi"/>
          <w:szCs w:val="24"/>
        </w:rPr>
      </w:pPr>
      <w:r w:rsidRPr="00B6098D">
        <w:rPr>
          <w:szCs w:val="24"/>
        </w:rPr>
        <w:lastRenderedPageBreak/>
        <w:t xml:space="preserve">We are carefully going through the data and have developed a process to ensure </w:t>
      </w:r>
      <w:bookmarkStart w:id="24" w:name="_Hlk38893546"/>
      <w:r w:rsidR="00DD187D">
        <w:rPr>
          <w:szCs w:val="24"/>
        </w:rPr>
        <w:t xml:space="preserve">the data are accurate and </w:t>
      </w:r>
      <w:r w:rsidR="007B6AE0">
        <w:rPr>
          <w:szCs w:val="24"/>
        </w:rPr>
        <w:t xml:space="preserve">a person who died is not counted twice across </w:t>
      </w:r>
      <w:r w:rsidR="007B6AE0" w:rsidRPr="00337DB8">
        <w:rPr>
          <w:szCs w:val="24"/>
        </w:rPr>
        <w:t xml:space="preserve">different </w:t>
      </w:r>
      <w:r w:rsidR="007B6AE0">
        <w:rPr>
          <w:szCs w:val="24"/>
        </w:rPr>
        <w:t xml:space="preserve">reporting </w:t>
      </w:r>
      <w:r w:rsidR="007B6AE0" w:rsidRPr="00337DB8">
        <w:rPr>
          <w:szCs w:val="24"/>
        </w:rPr>
        <w:t>systems</w:t>
      </w:r>
      <w:r w:rsidR="007B6AE0">
        <w:rPr>
          <w:szCs w:val="24"/>
        </w:rPr>
        <w:t>.</w:t>
      </w:r>
      <w:bookmarkEnd w:id="24"/>
    </w:p>
    <w:p w14:paraId="3A2CB6A9" w14:textId="76EA5150" w:rsidR="00526E17" w:rsidRDefault="00526E17" w:rsidP="00B6098D">
      <w:pPr>
        <w:rPr>
          <w:szCs w:val="24"/>
        </w:rPr>
      </w:pPr>
    </w:p>
    <w:p w14:paraId="0BDFF31E" w14:textId="35171653" w:rsidR="00B6098D" w:rsidRDefault="00B6098D" w:rsidP="000478D7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0478D7">
        <w:rPr>
          <w:rFonts w:ascii="Arial" w:hAnsi="Arial" w:cs="Arial"/>
          <w:b/>
          <w:sz w:val="24"/>
          <w:szCs w:val="24"/>
        </w:rPr>
        <w:t xml:space="preserve">Can you provide a breakdown by </w:t>
      </w:r>
      <w:r w:rsidR="000478D7" w:rsidRPr="000478D7">
        <w:rPr>
          <w:rFonts w:ascii="Arial" w:hAnsi="Arial" w:cs="Arial"/>
          <w:b/>
          <w:sz w:val="24"/>
          <w:szCs w:val="24"/>
        </w:rPr>
        <w:t>setting?</w:t>
      </w:r>
    </w:p>
    <w:p w14:paraId="51C04F1C" w14:textId="6A56A52B" w:rsidR="007B6AE0" w:rsidRPr="007B6AE0" w:rsidRDefault="007B6AE0" w:rsidP="007B6AE0">
      <w:pPr>
        <w:rPr>
          <w:szCs w:val="24"/>
        </w:rPr>
      </w:pPr>
      <w:r w:rsidRPr="007B6AE0">
        <w:rPr>
          <w:szCs w:val="24"/>
        </w:rPr>
        <w:t xml:space="preserve">This cannot be provided </w:t>
      </w:r>
      <w:proofErr w:type="gramStart"/>
      <w:r w:rsidRPr="007B6AE0">
        <w:rPr>
          <w:szCs w:val="24"/>
        </w:rPr>
        <w:t>on a daily basis</w:t>
      </w:r>
      <w:proofErr w:type="gramEnd"/>
      <w:r w:rsidRPr="007B6AE0">
        <w:rPr>
          <w:szCs w:val="24"/>
        </w:rPr>
        <w:t>. More accurate information on place of death are available weekly through ONS death registrations, with a 11-day reporting lag.</w:t>
      </w:r>
    </w:p>
    <w:p w14:paraId="190B5C75" w14:textId="77777777" w:rsidR="007B6AE0" w:rsidRPr="007B6AE0" w:rsidRDefault="007B6AE0" w:rsidP="007B6AE0">
      <w:pPr>
        <w:rPr>
          <w:b/>
          <w:szCs w:val="24"/>
        </w:rPr>
      </w:pPr>
    </w:p>
    <w:p w14:paraId="7032F6B5" w14:textId="3518BDF1" w:rsidR="007B6AE0" w:rsidRPr="007B6AE0" w:rsidRDefault="007B6AE0" w:rsidP="007B6AE0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4"/>
          <w:szCs w:val="24"/>
        </w:rPr>
      </w:pPr>
      <w:r w:rsidRPr="007B6AE0">
        <w:rPr>
          <w:rFonts w:ascii="Arial" w:hAnsi="Arial" w:cs="Arial"/>
          <w:b/>
          <w:sz w:val="24"/>
          <w:szCs w:val="24"/>
        </w:rPr>
        <w:t>What period do these data cover?</w:t>
      </w:r>
    </w:p>
    <w:p w14:paraId="6E2F7B68" w14:textId="4EAE76D9" w:rsidR="007B6AE0" w:rsidRPr="007B6AE0" w:rsidRDefault="007B6AE0" w:rsidP="007B6AE0">
      <w:pPr>
        <w:rPr>
          <w:szCs w:val="24"/>
        </w:rPr>
      </w:pPr>
      <w:r w:rsidRPr="007B6AE0">
        <w:rPr>
          <w:szCs w:val="24"/>
        </w:rPr>
        <w:t>This data series covers all deaths in people in England with laboratory confirmed COVID-19 test diagnosed since 2 March 2020, regardless of where they died. For our UK figures we have combined them with similar series for Scotland, Wales and Northern Ireland.</w:t>
      </w:r>
    </w:p>
    <w:p w14:paraId="43B3916F" w14:textId="1CB846E4" w:rsidR="007B6AE0" w:rsidRDefault="007B6AE0" w:rsidP="00107210">
      <w:pPr>
        <w:rPr>
          <w:szCs w:val="24"/>
        </w:rPr>
      </w:pPr>
    </w:p>
    <w:p w14:paraId="09184B45" w14:textId="22CDC0DF" w:rsidR="00972456" w:rsidRDefault="00AC3992" w:rsidP="00AF0DD7">
      <w:pPr>
        <w:pStyle w:val="Style1"/>
        <w:numPr>
          <w:ilvl w:val="0"/>
          <w:numId w:val="0"/>
        </w:numPr>
        <w:rPr>
          <w:rStyle w:val="PHEFrontpagemaintitle"/>
        </w:rPr>
      </w:pPr>
      <w:bookmarkStart w:id="25" w:name="_Toc38900595"/>
      <w:r w:rsidRPr="00AF0DD7">
        <w:rPr>
          <w:rStyle w:val="PHEFrontpagemaintitle"/>
        </w:rPr>
        <w:t>Annex 1: Details of data sources</w:t>
      </w:r>
      <w:r>
        <w:rPr>
          <w:rStyle w:val="PHEFrontpagemaintitle"/>
        </w:rPr>
        <w:t xml:space="preserve"> included in PHE data series</w:t>
      </w:r>
      <w:bookmarkEnd w:id="25"/>
    </w:p>
    <w:p w14:paraId="7E1D17BF" w14:textId="77777777" w:rsidR="00AC3992" w:rsidRPr="00AF0DD7" w:rsidRDefault="00AC3992" w:rsidP="00AF0DD7">
      <w:pPr>
        <w:pStyle w:val="Style1"/>
        <w:numPr>
          <w:ilvl w:val="0"/>
          <w:numId w:val="0"/>
        </w:numPr>
        <w:rPr>
          <w:rStyle w:val="PHEFrontpagemaintit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890"/>
      </w:tblGrid>
      <w:tr w:rsidR="00025720" w14:paraId="30D13D7B" w14:textId="77777777" w:rsidTr="00542FD9">
        <w:tc>
          <w:tcPr>
            <w:tcW w:w="4248" w:type="dxa"/>
          </w:tcPr>
          <w:p w14:paraId="3798549F" w14:textId="6FAD005F" w:rsidR="00025720" w:rsidRPr="00AF0DD7" w:rsidRDefault="00C845B7" w:rsidP="00B6098D">
            <w:pPr>
              <w:rPr>
                <w:b/>
                <w:szCs w:val="24"/>
              </w:rPr>
            </w:pPr>
            <w:r w:rsidRPr="00AF0DD7">
              <w:rPr>
                <w:b/>
                <w:szCs w:val="24"/>
              </w:rPr>
              <w:t>Data source</w:t>
            </w:r>
          </w:p>
        </w:tc>
        <w:tc>
          <w:tcPr>
            <w:tcW w:w="5890" w:type="dxa"/>
          </w:tcPr>
          <w:p w14:paraId="69F32B4E" w14:textId="75CE7EFF" w:rsidR="00025720" w:rsidRPr="00AF0DD7" w:rsidRDefault="00972456" w:rsidP="00B6098D">
            <w:pPr>
              <w:rPr>
                <w:b/>
                <w:szCs w:val="24"/>
              </w:rPr>
            </w:pPr>
            <w:r w:rsidRPr="00AF0DD7">
              <w:rPr>
                <w:b/>
                <w:szCs w:val="24"/>
              </w:rPr>
              <w:t>Description</w:t>
            </w:r>
          </w:p>
        </w:tc>
      </w:tr>
      <w:tr w:rsidR="00025720" w14:paraId="3C4E186E" w14:textId="77777777" w:rsidTr="00542FD9">
        <w:tc>
          <w:tcPr>
            <w:tcW w:w="4248" w:type="dxa"/>
          </w:tcPr>
          <w:p w14:paraId="20328B6C" w14:textId="56EEEF2B" w:rsidR="00025720" w:rsidRPr="00AF0DD7" w:rsidRDefault="00F169BB" w:rsidP="00AF0DD7">
            <w:pPr>
              <w:ind w:left="360"/>
              <w:rPr>
                <w:szCs w:val="24"/>
              </w:rPr>
            </w:pPr>
            <w:r>
              <w:rPr>
                <w:rFonts w:eastAsia="Times New Roman"/>
                <w:szCs w:val="24"/>
              </w:rPr>
              <w:t>NHS England</w:t>
            </w:r>
            <w:r w:rsidR="00025720" w:rsidRPr="00AF0DD7">
              <w:rPr>
                <w:rFonts w:eastAsia="Times New Roman"/>
                <w:szCs w:val="24"/>
              </w:rPr>
              <w:t xml:space="preserve"> line li</w:t>
            </w:r>
            <w:r>
              <w:rPr>
                <w:rFonts w:eastAsia="Times New Roman"/>
                <w:szCs w:val="24"/>
              </w:rPr>
              <w:t>sting of deaths reported by NHS</w:t>
            </w:r>
            <w:r w:rsidR="00025720" w:rsidRPr="00AF0DD7">
              <w:rPr>
                <w:rFonts w:eastAsia="Times New Roman"/>
                <w:szCs w:val="24"/>
              </w:rPr>
              <w:t xml:space="preserve"> trusts in the COVID-19 Patient Notification System (CPNS)</w:t>
            </w:r>
          </w:p>
          <w:p w14:paraId="663071F8" w14:textId="77777777" w:rsidR="00025720" w:rsidRPr="00AF0DD7" w:rsidRDefault="00025720" w:rsidP="00AF0DD7">
            <w:pPr>
              <w:ind w:left="360"/>
              <w:rPr>
                <w:szCs w:val="24"/>
              </w:rPr>
            </w:pPr>
          </w:p>
        </w:tc>
        <w:tc>
          <w:tcPr>
            <w:tcW w:w="5890" w:type="dxa"/>
          </w:tcPr>
          <w:p w14:paraId="3D2F509A" w14:textId="621B2706" w:rsidR="00025720" w:rsidRDefault="00C845B7" w:rsidP="00B6098D">
            <w:pPr>
              <w:rPr>
                <w:szCs w:val="24"/>
              </w:rPr>
            </w:pPr>
            <w:r>
              <w:rPr>
                <w:szCs w:val="24"/>
              </w:rPr>
              <w:t xml:space="preserve">This </w:t>
            </w:r>
            <w:r w:rsidR="00972456">
              <w:rPr>
                <w:szCs w:val="24"/>
              </w:rPr>
              <w:t xml:space="preserve">data </w:t>
            </w:r>
            <w:r w:rsidRPr="00C845B7">
              <w:rPr>
                <w:szCs w:val="24"/>
              </w:rPr>
              <w:t xml:space="preserve">contains information on deaths of patients who have died in hospitals in England and had tested positive for COVID-19 at </w:t>
            </w:r>
            <w:r w:rsidR="00972456">
              <w:rPr>
                <w:szCs w:val="24"/>
              </w:rPr>
              <w:t xml:space="preserve">the </w:t>
            </w:r>
            <w:r w:rsidRPr="00C845B7">
              <w:rPr>
                <w:szCs w:val="24"/>
              </w:rPr>
              <w:t>time of death.</w:t>
            </w:r>
            <w:r w:rsidR="009606A3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74E69653" w14:textId="77777777" w:rsidR="00972456" w:rsidRDefault="00972456" w:rsidP="00B6098D">
            <w:pPr>
              <w:rPr>
                <w:szCs w:val="24"/>
              </w:rPr>
            </w:pPr>
          </w:p>
          <w:p w14:paraId="6D46093A" w14:textId="376BA6F8" w:rsidR="00972456" w:rsidRDefault="00F169BB" w:rsidP="00B6098D">
            <w:pPr>
              <w:rPr>
                <w:szCs w:val="24"/>
              </w:rPr>
            </w:pPr>
            <w:r>
              <w:rPr>
                <w:szCs w:val="24"/>
              </w:rPr>
              <w:t>Data are reported to NHS England</w:t>
            </w:r>
            <w:r w:rsidR="00972456">
              <w:rPr>
                <w:szCs w:val="24"/>
              </w:rPr>
              <w:t xml:space="preserve"> by individual NHS Trusts via a web-based reporting system. </w:t>
            </w:r>
          </w:p>
          <w:p w14:paraId="6B913293" w14:textId="59F02847" w:rsidR="00107210" w:rsidRDefault="00107210" w:rsidP="00B6098D">
            <w:pPr>
              <w:rPr>
                <w:szCs w:val="24"/>
              </w:rPr>
            </w:pPr>
          </w:p>
        </w:tc>
      </w:tr>
      <w:tr w:rsidR="00025720" w14:paraId="5B537163" w14:textId="77777777" w:rsidTr="00542FD9">
        <w:tc>
          <w:tcPr>
            <w:tcW w:w="4248" w:type="dxa"/>
          </w:tcPr>
          <w:p w14:paraId="7433F9EB" w14:textId="07CCB13E" w:rsidR="00025720" w:rsidRPr="00AF0DD7" w:rsidRDefault="00025720" w:rsidP="00AF0DD7">
            <w:pPr>
              <w:ind w:left="360"/>
              <w:rPr>
                <w:szCs w:val="24"/>
              </w:rPr>
            </w:pPr>
            <w:r w:rsidRPr="00AF0DD7">
              <w:rPr>
                <w:rFonts w:eastAsia="Times New Roman"/>
                <w:szCs w:val="24"/>
              </w:rPr>
              <w:t>Health protection teams (HPTs) reporting deaths notified to them (pr</w:t>
            </w:r>
            <w:r w:rsidR="00107210">
              <w:rPr>
                <w:rFonts w:eastAsia="Times New Roman"/>
                <w:szCs w:val="24"/>
              </w:rPr>
              <w:t>imarily non-hospital settings)</w:t>
            </w:r>
          </w:p>
          <w:p w14:paraId="1B0C0483" w14:textId="77777777" w:rsidR="00025720" w:rsidRPr="00AF0DD7" w:rsidRDefault="00025720" w:rsidP="00AF0DD7">
            <w:pPr>
              <w:ind w:left="360"/>
              <w:rPr>
                <w:szCs w:val="24"/>
              </w:rPr>
            </w:pPr>
          </w:p>
        </w:tc>
        <w:tc>
          <w:tcPr>
            <w:tcW w:w="5890" w:type="dxa"/>
          </w:tcPr>
          <w:p w14:paraId="49D45F52" w14:textId="30718AC4" w:rsidR="00025720" w:rsidRDefault="00C845B7" w:rsidP="00B6098D">
            <w:pPr>
              <w:rPr>
                <w:szCs w:val="24"/>
              </w:rPr>
            </w:pPr>
            <w:r>
              <w:rPr>
                <w:szCs w:val="24"/>
              </w:rPr>
              <w:t xml:space="preserve">These are deaths reported to Health Protection Teams as part of their outbreak management. This </w:t>
            </w:r>
            <w:r w:rsidR="00107210">
              <w:rPr>
                <w:szCs w:val="24"/>
              </w:rPr>
              <w:t>are</w:t>
            </w:r>
            <w:r>
              <w:rPr>
                <w:szCs w:val="24"/>
              </w:rPr>
              <w:t xml:space="preserve"> primarily from non-hospital settings such as care homes but can also include other settings. </w:t>
            </w:r>
          </w:p>
          <w:p w14:paraId="3715D32F" w14:textId="7359AD4B" w:rsidR="00C845B7" w:rsidRDefault="00C845B7" w:rsidP="00B6098D">
            <w:pPr>
              <w:rPr>
                <w:szCs w:val="24"/>
              </w:rPr>
            </w:pPr>
          </w:p>
        </w:tc>
      </w:tr>
      <w:tr w:rsidR="00025720" w14:paraId="1E74DF65" w14:textId="77777777" w:rsidTr="00542FD9">
        <w:tc>
          <w:tcPr>
            <w:tcW w:w="4248" w:type="dxa"/>
          </w:tcPr>
          <w:p w14:paraId="761D5DB2" w14:textId="532893D1" w:rsidR="00025720" w:rsidRPr="00AF0DD7" w:rsidRDefault="00025720" w:rsidP="00AF0DD7">
            <w:pPr>
              <w:ind w:left="360"/>
              <w:rPr>
                <w:szCs w:val="24"/>
              </w:rPr>
            </w:pPr>
            <w:r w:rsidRPr="00AF0DD7">
              <w:rPr>
                <w:rFonts w:eastAsia="Times New Roman"/>
                <w:szCs w:val="24"/>
              </w:rPr>
              <w:t>NHS Demographic Batch Service</w:t>
            </w:r>
            <w:r w:rsidRPr="00AF0DD7" w:rsidDel="00A5510D">
              <w:rPr>
                <w:rFonts w:eastAsia="Times New Roman"/>
                <w:szCs w:val="24"/>
              </w:rPr>
              <w:t xml:space="preserve"> </w:t>
            </w:r>
            <w:r w:rsidRPr="00AF0DD7">
              <w:rPr>
                <w:rFonts w:eastAsia="Times New Roman"/>
                <w:szCs w:val="24"/>
              </w:rPr>
              <w:t>tracing of patients with a lab</w:t>
            </w:r>
            <w:r w:rsidR="00107210">
              <w:rPr>
                <w:rFonts w:eastAsia="Times New Roman"/>
                <w:szCs w:val="24"/>
              </w:rPr>
              <w:t>oratory confirmed COVID-19 test</w:t>
            </w:r>
          </w:p>
          <w:p w14:paraId="2B31CF76" w14:textId="77777777" w:rsidR="00025720" w:rsidRDefault="00025720">
            <w:pPr>
              <w:rPr>
                <w:szCs w:val="24"/>
              </w:rPr>
            </w:pPr>
          </w:p>
        </w:tc>
        <w:tc>
          <w:tcPr>
            <w:tcW w:w="5890" w:type="dxa"/>
          </w:tcPr>
          <w:p w14:paraId="1D56711B" w14:textId="57A5F953" w:rsidR="00025720" w:rsidRDefault="00C845B7" w:rsidP="00B6098D">
            <w:pPr>
              <w:rPr>
                <w:szCs w:val="24"/>
              </w:rPr>
            </w:pPr>
            <w:r>
              <w:rPr>
                <w:szCs w:val="24"/>
              </w:rPr>
              <w:t xml:space="preserve">These are </w:t>
            </w:r>
            <w:r w:rsidR="00107210">
              <w:rPr>
                <w:szCs w:val="24"/>
              </w:rPr>
              <w:t xml:space="preserve">reports of </w:t>
            </w:r>
            <w:r>
              <w:rPr>
                <w:szCs w:val="24"/>
              </w:rPr>
              <w:t>deaths among individuals who have a laboratory confirmed diagnosis of COVID-19, as recorded in the SGSS dataset (national dataset extracted directly from PHE</w:t>
            </w:r>
            <w:r w:rsidR="00107210">
              <w:rPr>
                <w:szCs w:val="24"/>
              </w:rPr>
              <w:t xml:space="preserve"> and NHS hospital laboratories)</w:t>
            </w:r>
            <w:r w:rsidR="00107210">
              <w:rPr>
                <w:rStyle w:val="FootnoteReference"/>
                <w:szCs w:val="24"/>
              </w:rPr>
              <w:footnoteReference w:id="4"/>
            </w:r>
          </w:p>
          <w:p w14:paraId="7E7BBD1A" w14:textId="77777777" w:rsidR="00C845B7" w:rsidRDefault="00C845B7" w:rsidP="00B6098D">
            <w:pPr>
              <w:rPr>
                <w:szCs w:val="24"/>
              </w:rPr>
            </w:pPr>
          </w:p>
          <w:p w14:paraId="18BE3C92" w14:textId="5F06E4E1" w:rsidR="00C845B7" w:rsidRDefault="00C845B7" w:rsidP="00B6098D">
            <w:pPr>
              <w:rPr>
                <w:szCs w:val="24"/>
              </w:rPr>
            </w:pPr>
            <w:r>
              <w:rPr>
                <w:szCs w:val="24"/>
              </w:rPr>
              <w:t>These data are</w:t>
            </w:r>
            <w:r w:rsidR="00107210">
              <w:rPr>
                <w:szCs w:val="24"/>
              </w:rPr>
              <w:t xml:space="preserve"> submitted</w:t>
            </w:r>
            <w:r>
              <w:rPr>
                <w:szCs w:val="24"/>
              </w:rPr>
              <w:t xml:space="preserve"> </w:t>
            </w:r>
            <w:proofErr w:type="gramStart"/>
            <w:r w:rsidR="00107210">
              <w:rPr>
                <w:szCs w:val="24"/>
              </w:rPr>
              <w:t>on a daily basis</w:t>
            </w:r>
            <w:proofErr w:type="gramEnd"/>
            <w:r w:rsidR="00107210">
              <w:rPr>
                <w:szCs w:val="24"/>
              </w:rPr>
              <w:t xml:space="preserve"> to the Demographic Batch Service (DBS)</w:t>
            </w:r>
            <w:r w:rsidR="00107210">
              <w:rPr>
                <w:rStyle w:val="FootnoteReference"/>
                <w:szCs w:val="24"/>
              </w:rPr>
              <w:footnoteReference w:id="5"/>
            </w:r>
            <w:r w:rsidR="00107210">
              <w:rPr>
                <w:szCs w:val="24"/>
              </w:rPr>
              <w:t xml:space="preserve"> to check NHS patient records for reports that individuals who died in the previous 24 hours.</w:t>
            </w:r>
          </w:p>
          <w:p w14:paraId="25B245A5" w14:textId="432683D0" w:rsidR="00CF7A67" w:rsidRDefault="00CF7A67" w:rsidP="00B6098D">
            <w:pPr>
              <w:rPr>
                <w:szCs w:val="24"/>
              </w:rPr>
            </w:pPr>
          </w:p>
          <w:p w14:paraId="30F0BC4F" w14:textId="46EB0A68" w:rsidR="00C845B7" w:rsidRDefault="00CF7A67" w:rsidP="00B6098D">
            <w:pPr>
              <w:rPr>
                <w:szCs w:val="24"/>
              </w:rPr>
            </w:pPr>
            <w:r>
              <w:rPr>
                <w:szCs w:val="24"/>
              </w:rPr>
              <w:t>These deaths are not limited to specific places of death</w:t>
            </w:r>
          </w:p>
        </w:tc>
      </w:tr>
    </w:tbl>
    <w:p w14:paraId="543B487C" w14:textId="4C8A5496" w:rsidR="001C31F8" w:rsidRDefault="001C31F8" w:rsidP="004D10A1"/>
    <w:sectPr w:rsidR="001C31F8" w:rsidSect="00BB4A93">
      <w:pgSz w:w="11906" w:h="16838" w:code="9"/>
      <w:pgMar w:top="1701" w:right="907" w:bottom="993" w:left="851" w:header="72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22B48" w14:textId="77777777" w:rsidR="002620BB" w:rsidRDefault="002620BB">
      <w:r>
        <w:separator/>
      </w:r>
    </w:p>
    <w:p w14:paraId="2873330A" w14:textId="77777777" w:rsidR="002620BB" w:rsidRDefault="002620BB"/>
    <w:p w14:paraId="6679BDDA" w14:textId="77777777" w:rsidR="002620BB" w:rsidRDefault="002620BB"/>
  </w:endnote>
  <w:endnote w:type="continuationSeparator" w:id="0">
    <w:p w14:paraId="1A730765" w14:textId="77777777" w:rsidR="002620BB" w:rsidRDefault="002620BB">
      <w:r>
        <w:continuationSeparator/>
      </w:r>
    </w:p>
    <w:p w14:paraId="49EF6849" w14:textId="77777777" w:rsidR="002620BB" w:rsidRDefault="002620BB"/>
    <w:p w14:paraId="00809403" w14:textId="77777777" w:rsidR="002620BB" w:rsidRDefault="002620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C0649" w14:textId="77777777" w:rsidR="0086329F" w:rsidRDefault="0086329F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72C064A" w14:textId="77777777" w:rsidR="0086329F" w:rsidRDefault="0086329F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C064B" w14:textId="77777777" w:rsidR="0086329F" w:rsidRPr="00502BE9" w:rsidRDefault="0086329F">
    <w:pPr>
      <w:jc w:val="center"/>
    </w:pPr>
    <w:r w:rsidRPr="00502BE9">
      <w:fldChar w:fldCharType="begin"/>
    </w:r>
    <w:r w:rsidRPr="00502BE9">
      <w:instrText xml:space="preserve"> PAGE   \* MERGEFORMAT </w:instrText>
    </w:r>
    <w:r w:rsidRPr="00502BE9">
      <w:fldChar w:fldCharType="separate"/>
    </w:r>
    <w:r>
      <w:rPr>
        <w:noProof/>
      </w:rPr>
      <w:t>2</w:t>
    </w:r>
    <w:r w:rsidRPr="00502BE9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C064D" w14:textId="0178461A" w:rsidR="0086329F" w:rsidRPr="00B56A8D" w:rsidRDefault="0086329F">
    <w:pPr>
      <w:ind w:right="360"/>
    </w:pPr>
    <w:r w:rsidRPr="00B56A8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2C0654" wp14:editId="172C0655">
              <wp:simplePos x="0" y="0"/>
              <wp:positionH relativeFrom="column">
                <wp:posOffset>-808990</wp:posOffset>
              </wp:positionH>
              <wp:positionV relativeFrom="paragraph">
                <wp:posOffset>-248920</wp:posOffset>
              </wp:positionV>
              <wp:extent cx="7745095" cy="635"/>
              <wp:effectExtent l="0" t="38100" r="27305" b="75565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45095" cy="635"/>
                      </a:xfrm>
                      <a:prstGeom prst="straightConnector1">
                        <a:avLst/>
                      </a:prstGeom>
                      <a:noFill/>
                      <a:ln w="88900">
                        <a:solidFill>
                          <a:srgbClr val="00AE9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>
          <w:pict>
            <v:shapetype w14:anchorId="1DE0B2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3.7pt;margin-top:-19.6pt;width:609.85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" strokecolor="#00ae9e" strokeweight="7pt"/>
          </w:pict>
        </mc:Fallback>
      </mc:AlternateContent>
    </w:r>
    <w:r w:rsidRPr="00B56A8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72C0656" wp14:editId="172C0657">
              <wp:simplePos x="0" y="0"/>
              <wp:positionH relativeFrom="column">
                <wp:posOffset>-951865</wp:posOffset>
              </wp:positionH>
              <wp:positionV relativeFrom="paragraph">
                <wp:posOffset>-233045</wp:posOffset>
              </wp:positionV>
              <wp:extent cx="7887970" cy="982345"/>
              <wp:effectExtent l="19050" t="19050" r="36830" b="6540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7970" cy="982345"/>
                      </a:xfrm>
                      <a:prstGeom prst="rect">
                        <a:avLst/>
                      </a:prstGeom>
                      <a:solidFill>
                        <a:srgbClr val="98002E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>
          <w:pict>
            <v:rect w14:anchorId="62F41047" id="Rectangle 6" o:spid="_x0000_s1026" style="position:absolute;margin-left:-74.95pt;margin-top:-18.35pt;width:621.1pt;height:7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" fillcolor="#98002e" strokecolor="#f2f2f2" strokeweight="3pt">
              <v:shadow on="t" color="#622423" opacity=".5" offset="1pt"/>
            </v:rect>
          </w:pict>
        </mc:Fallback>
      </mc:AlternateContent>
    </w:r>
    <w:r w:rsidRPr="00B56A8D">
      <w:t>Prepared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C064F" w14:textId="61C8022D" w:rsidR="0086329F" w:rsidRPr="00BA6058" w:rsidRDefault="0086329F">
    <w:pPr>
      <w:jc w:val="center"/>
      <w:rPr>
        <w:sz w:val="20"/>
      </w:rPr>
    </w:pPr>
    <w:r w:rsidRPr="00BA6058">
      <w:rPr>
        <w:sz w:val="20"/>
      </w:rPr>
      <w:fldChar w:fldCharType="begin"/>
    </w:r>
    <w:r w:rsidRPr="00BA6058">
      <w:rPr>
        <w:sz w:val="20"/>
      </w:rPr>
      <w:instrText xml:space="preserve"> PAGE   \* MERGEFORMAT </w:instrText>
    </w:r>
    <w:r w:rsidRPr="00BA6058">
      <w:rPr>
        <w:sz w:val="20"/>
      </w:rPr>
      <w:fldChar w:fldCharType="separate"/>
    </w:r>
    <w:r w:rsidR="00D4123F">
      <w:rPr>
        <w:noProof/>
        <w:sz w:val="20"/>
      </w:rPr>
      <w:t>8</w:t>
    </w:r>
    <w:r w:rsidRPr="00BA6058">
      <w:rPr>
        <w:sz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C0651" w14:textId="33024A76" w:rsidR="0086329F" w:rsidRPr="001C268F" w:rsidRDefault="0086329F" w:rsidP="0066185B">
    <w:pPr>
      <w:jc w:val="center"/>
      <w:rPr>
        <w:sz w:val="20"/>
      </w:rPr>
    </w:pPr>
    <w:r w:rsidRPr="001C268F">
      <w:rPr>
        <w:sz w:val="20"/>
      </w:rPr>
      <w:fldChar w:fldCharType="begin"/>
    </w:r>
    <w:r w:rsidRPr="001C268F">
      <w:rPr>
        <w:sz w:val="20"/>
      </w:rPr>
      <w:instrText xml:space="preserve"> PAGE   \* MERGEFORMAT </w:instrText>
    </w:r>
    <w:r w:rsidRPr="001C268F">
      <w:rPr>
        <w:sz w:val="20"/>
      </w:rPr>
      <w:fldChar w:fldCharType="separate"/>
    </w:r>
    <w:r w:rsidR="00D4123F">
      <w:rPr>
        <w:noProof/>
        <w:sz w:val="20"/>
      </w:rPr>
      <w:t>3</w:t>
    </w:r>
    <w:r w:rsidRPr="001C268F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54D9F" w14:textId="77777777" w:rsidR="002620BB" w:rsidRDefault="002620BB">
      <w:r>
        <w:separator/>
      </w:r>
    </w:p>
    <w:p w14:paraId="5CBFB0B7" w14:textId="77777777" w:rsidR="002620BB" w:rsidRDefault="002620BB"/>
    <w:p w14:paraId="40EB424F" w14:textId="77777777" w:rsidR="002620BB" w:rsidRDefault="002620BB"/>
  </w:footnote>
  <w:footnote w:type="continuationSeparator" w:id="0">
    <w:p w14:paraId="02CCEBC4" w14:textId="77777777" w:rsidR="002620BB" w:rsidRDefault="002620BB">
      <w:r>
        <w:continuationSeparator/>
      </w:r>
    </w:p>
    <w:p w14:paraId="0A7D7BA6" w14:textId="77777777" w:rsidR="002620BB" w:rsidRDefault="002620BB"/>
    <w:p w14:paraId="0AFD40B0" w14:textId="77777777" w:rsidR="002620BB" w:rsidRDefault="002620BB"/>
  </w:footnote>
  <w:footnote w:id="1">
    <w:p w14:paraId="6AC5C846" w14:textId="7FB880CC" w:rsidR="0086329F" w:rsidRDefault="0086329F">
      <w:pPr>
        <w:pStyle w:val="FootnoteText"/>
      </w:pPr>
      <w:r>
        <w:rPr>
          <w:rStyle w:val="FootnoteReference"/>
        </w:rPr>
        <w:footnoteRef/>
      </w:r>
      <w:r>
        <w:t xml:space="preserve"> Based on where information on location of death is available.</w:t>
      </w:r>
    </w:p>
  </w:footnote>
  <w:footnote w:id="2">
    <w:p w14:paraId="5D7E9F4B" w14:textId="14B097D4" w:rsidR="0086329F" w:rsidRDefault="0086329F">
      <w:pPr>
        <w:pStyle w:val="FootnoteText"/>
      </w:pPr>
      <w:r>
        <w:rPr>
          <w:rStyle w:val="FootnoteReference"/>
        </w:rPr>
        <w:footnoteRef/>
      </w:r>
      <w:hyperlink r:id="rId1" w:history="1">
        <w:r w:rsidRPr="00BC18FD">
          <w:rPr>
            <w:rStyle w:val="Hyperlink"/>
          </w:rPr>
          <w:t>https://assets.publishing.service.gov.uk/government/uploads/system/uploads/attachment_data/file/739854/PHE_Laboratory_Reporting_Guidelines.pdf</w:t>
        </w:r>
      </w:hyperlink>
    </w:p>
  </w:footnote>
  <w:footnote w:id="3">
    <w:p w14:paraId="5C9A2FEC" w14:textId="666458AD" w:rsidR="0086329F" w:rsidRDefault="008632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https://digital.nhs.uk/services/national-back-office-for-the-personal-demographics-service/demographics-batch-service-bureau</w:t>
        </w:r>
      </w:hyperlink>
    </w:p>
  </w:footnote>
  <w:footnote w:id="4">
    <w:p w14:paraId="507D0E27" w14:textId="77777777" w:rsidR="00107210" w:rsidRDefault="00107210" w:rsidP="00107210">
      <w:pPr>
        <w:pStyle w:val="FootnoteText"/>
      </w:pPr>
      <w:r>
        <w:rPr>
          <w:rStyle w:val="FootnoteReference"/>
        </w:rPr>
        <w:footnoteRef/>
      </w:r>
      <w:hyperlink r:id="rId3" w:history="1">
        <w:r w:rsidRPr="00BC18FD">
          <w:rPr>
            <w:rStyle w:val="Hyperlink"/>
          </w:rPr>
          <w:t>https://assets.publishing.service.gov.uk/government/uploads/system/uploads/attachment_data/file/739854/PHE_Laboratory_Reporting_Guidelines.pdf</w:t>
        </w:r>
      </w:hyperlink>
    </w:p>
  </w:footnote>
  <w:footnote w:id="5">
    <w:p w14:paraId="785A9931" w14:textId="77777777" w:rsidR="00107210" w:rsidRDefault="00107210" w:rsidP="0010721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>
          <w:rPr>
            <w:rStyle w:val="Hyperlink"/>
          </w:rPr>
          <w:t>https://digital.nhs.uk/services/national-back-office-for-the-personal-demographics-service/demographics-batch-service-bureau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C064C" w14:textId="77777777" w:rsidR="0086329F" w:rsidRDefault="0086329F" w:rsidP="009E3727">
    <w:pPr>
      <w:ind w:left="-284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172C0652" wp14:editId="172C0653">
          <wp:simplePos x="0" y="0"/>
          <wp:positionH relativeFrom="column">
            <wp:posOffset>-659130</wp:posOffset>
          </wp:positionH>
          <wp:positionV relativeFrom="paragraph">
            <wp:posOffset>-442595</wp:posOffset>
          </wp:positionV>
          <wp:extent cx="4062730" cy="2011680"/>
          <wp:effectExtent l="0" t="0" r="0" b="7620"/>
          <wp:wrapNone/>
          <wp:docPr id="3" name="Picture 8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E small logo for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2730" cy="201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3148C" w14:textId="5B67E3FC" w:rsidR="0086329F" w:rsidRDefault="0086329F" w:rsidP="002353A5">
    <w:pPr>
      <w:pStyle w:val="Header"/>
      <w:rPr>
        <w:rFonts w:cs="Times New Roman"/>
        <w:color w:val="7F7F7F"/>
        <w:sz w:val="20"/>
      </w:rPr>
    </w:pPr>
    <w:r>
      <w:rPr>
        <w:rFonts w:cs="Times New Roman"/>
        <w:color w:val="7F7F7F"/>
        <w:sz w:val="20"/>
      </w:rPr>
      <w:t>Briefing paper: PHE reporting of COVID-19 deaths</w:t>
    </w:r>
  </w:p>
  <w:p w14:paraId="3BA224DF" w14:textId="7C23A757" w:rsidR="00DD75EF" w:rsidRDefault="00D4123F" w:rsidP="002353A5">
    <w:pPr>
      <w:pStyle w:val="Header"/>
      <w:rPr>
        <w:rFonts w:cs="Times New Roman"/>
        <w:color w:val="7F7F7F"/>
        <w:sz w:val="20"/>
      </w:rPr>
    </w:pPr>
    <w:r>
      <w:rPr>
        <w:rFonts w:cs="Times New Roman"/>
        <w:color w:val="7F7F7F"/>
        <w:sz w:val="20"/>
      </w:rPr>
      <w:t>29</w:t>
    </w:r>
    <w:r w:rsidR="00DD75EF">
      <w:rPr>
        <w:rFonts w:cs="Times New Roman"/>
        <w:color w:val="7F7F7F"/>
        <w:sz w:val="20"/>
      </w:rPr>
      <w:t xml:space="preserve"> April 2020</w:t>
    </w:r>
  </w:p>
  <w:p w14:paraId="545833BF" w14:textId="77777777" w:rsidR="0086329F" w:rsidRDefault="0086329F" w:rsidP="002353A5">
    <w:pPr>
      <w:pStyle w:val="Header"/>
      <w:rPr>
        <w:rFonts w:cs="Times New Roman"/>
        <w:color w:val="7F7F7F"/>
        <w:sz w:val="20"/>
      </w:rPr>
    </w:pPr>
  </w:p>
  <w:p w14:paraId="56C60E03" w14:textId="77777777" w:rsidR="0086329F" w:rsidRPr="00C903C3" w:rsidRDefault="0086329F" w:rsidP="002353A5">
    <w:pPr>
      <w:pStyle w:val="Header"/>
      <w:jc w:val="center"/>
      <w:rPr>
        <w:b/>
        <w:color w:val="FF0000"/>
      </w:rPr>
    </w:pPr>
    <w:r w:rsidRPr="00C903C3">
      <w:rPr>
        <w:rFonts w:cs="Times New Roman"/>
        <w:b/>
        <w:color w:val="FF0000"/>
        <w:sz w:val="20"/>
      </w:rPr>
      <w:t>OFFICIAL - SENSITIVE</w:t>
    </w:r>
  </w:p>
  <w:p w14:paraId="172C064E" w14:textId="61A9F615" w:rsidR="0086329F" w:rsidRPr="006A608E" w:rsidRDefault="0086329F">
    <w:pPr>
      <w:pStyle w:val="PHEMaintitleasrunning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2C0650" w14:textId="23E0FBEE" w:rsidR="0086329F" w:rsidRDefault="0086329F" w:rsidP="001E1113">
    <w:pPr>
      <w:pStyle w:val="Header"/>
      <w:rPr>
        <w:rFonts w:cs="Times New Roman"/>
        <w:color w:val="7F7F7F"/>
        <w:sz w:val="20"/>
      </w:rPr>
    </w:pPr>
    <w:r>
      <w:rPr>
        <w:rFonts w:cs="Times New Roman"/>
        <w:color w:val="7F7F7F"/>
        <w:sz w:val="20"/>
      </w:rPr>
      <w:t>PHE reporting of COVID-19 deaths – briefing paper</w:t>
    </w:r>
  </w:p>
  <w:p w14:paraId="092DA837" w14:textId="46D03936" w:rsidR="00DD75EF" w:rsidRDefault="003500AB" w:rsidP="001E1113">
    <w:pPr>
      <w:pStyle w:val="Header"/>
      <w:rPr>
        <w:rFonts w:cs="Times New Roman"/>
        <w:color w:val="7F7F7F"/>
        <w:sz w:val="20"/>
      </w:rPr>
    </w:pPr>
    <w:r>
      <w:rPr>
        <w:rFonts w:cs="Times New Roman"/>
        <w:color w:val="7F7F7F"/>
        <w:sz w:val="20"/>
      </w:rPr>
      <w:t>2</w:t>
    </w:r>
    <w:r w:rsidR="00D4123F">
      <w:rPr>
        <w:rFonts w:cs="Times New Roman"/>
        <w:color w:val="7F7F7F"/>
        <w:sz w:val="20"/>
      </w:rPr>
      <w:t>9</w:t>
    </w:r>
    <w:r w:rsidR="00DD75EF">
      <w:rPr>
        <w:rFonts w:cs="Times New Roman"/>
        <w:color w:val="7F7F7F"/>
        <w:sz w:val="20"/>
      </w:rPr>
      <w:t xml:space="preserve"> April 2020</w:t>
    </w:r>
  </w:p>
  <w:p w14:paraId="32050F4C" w14:textId="0728A896" w:rsidR="0086329F" w:rsidRDefault="0086329F" w:rsidP="001E1113">
    <w:pPr>
      <w:pStyle w:val="Header"/>
      <w:rPr>
        <w:rFonts w:cs="Times New Roman"/>
        <w:color w:val="7F7F7F"/>
        <w:sz w:val="20"/>
      </w:rPr>
    </w:pPr>
  </w:p>
  <w:p w14:paraId="3DD82B07" w14:textId="005C6598" w:rsidR="0086329F" w:rsidRPr="008D2B1B" w:rsidRDefault="0086329F" w:rsidP="008D2B1B">
    <w:pPr>
      <w:pStyle w:val="Header"/>
      <w:jc w:val="center"/>
      <w:rPr>
        <w:b/>
        <w:color w:val="FF0000"/>
      </w:rPr>
    </w:pPr>
    <w:r w:rsidRPr="008D2B1B">
      <w:rPr>
        <w:rFonts w:cs="Times New Roman"/>
        <w:b/>
        <w:color w:val="FF0000"/>
        <w:sz w:val="20"/>
      </w:rPr>
      <w:t>OFFICIAL - SENSITIVE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85A"/>
    <w:multiLevelType w:val="multilevel"/>
    <w:tmpl w:val="10E6B876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906296"/>
    <w:multiLevelType w:val="hybridMultilevel"/>
    <w:tmpl w:val="B2B2E75C"/>
    <w:lvl w:ilvl="0" w:tplc="172A2B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A7D1C"/>
    <w:multiLevelType w:val="hybridMultilevel"/>
    <w:tmpl w:val="9D4AB8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42D68"/>
    <w:multiLevelType w:val="hybridMultilevel"/>
    <w:tmpl w:val="6FFA684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54754"/>
    <w:multiLevelType w:val="hybridMultilevel"/>
    <w:tmpl w:val="34B8CE50"/>
    <w:lvl w:ilvl="0" w:tplc="1C8440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5F68845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7C4A"/>
    <w:multiLevelType w:val="hybridMultilevel"/>
    <w:tmpl w:val="B2B2E75C"/>
    <w:lvl w:ilvl="0" w:tplc="172A2B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6637A"/>
    <w:multiLevelType w:val="hybridMultilevel"/>
    <w:tmpl w:val="3612BD8C"/>
    <w:lvl w:ilvl="0" w:tplc="73AC1B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094530"/>
    <w:multiLevelType w:val="hybridMultilevel"/>
    <w:tmpl w:val="E8D6F91C"/>
    <w:lvl w:ilvl="0" w:tplc="B00AEC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54C46"/>
    <w:multiLevelType w:val="multilevel"/>
    <w:tmpl w:val="73CCC2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pStyle w:val="PHENumberedbodytext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7BB6C3D"/>
    <w:multiLevelType w:val="hybridMultilevel"/>
    <w:tmpl w:val="DC064EC2"/>
    <w:lvl w:ilvl="0" w:tplc="172A2B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A21B5B"/>
    <w:multiLevelType w:val="hybridMultilevel"/>
    <w:tmpl w:val="A6AE0D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32A18"/>
    <w:multiLevelType w:val="hybridMultilevel"/>
    <w:tmpl w:val="1C6CA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F6B58"/>
    <w:multiLevelType w:val="hybridMultilevel"/>
    <w:tmpl w:val="D0E452F0"/>
    <w:lvl w:ilvl="0" w:tplc="73AC1B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87D4D"/>
    <w:multiLevelType w:val="hybridMultilevel"/>
    <w:tmpl w:val="7B6C6F10"/>
    <w:lvl w:ilvl="0" w:tplc="ED30D5E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A3DB5"/>
    <w:multiLevelType w:val="hybridMultilevel"/>
    <w:tmpl w:val="0F64D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B5810"/>
    <w:multiLevelType w:val="hybridMultilevel"/>
    <w:tmpl w:val="28E2D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F688456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324640"/>
    <w:multiLevelType w:val="hybridMultilevel"/>
    <w:tmpl w:val="14CE8D70"/>
    <w:lvl w:ilvl="0" w:tplc="163EC4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23D52"/>
    <w:multiLevelType w:val="multilevel"/>
    <w:tmpl w:val="4B767F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70C63F8"/>
    <w:multiLevelType w:val="hybridMultilevel"/>
    <w:tmpl w:val="F37EB78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C161F7"/>
    <w:multiLevelType w:val="hybridMultilevel"/>
    <w:tmpl w:val="D84EB86E"/>
    <w:lvl w:ilvl="0" w:tplc="FF925202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F40AD"/>
    <w:multiLevelType w:val="hybridMultilevel"/>
    <w:tmpl w:val="01626E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200E7"/>
    <w:multiLevelType w:val="multilevel"/>
    <w:tmpl w:val="D1DEE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7674849"/>
    <w:multiLevelType w:val="hybridMultilevel"/>
    <w:tmpl w:val="DF1824D4"/>
    <w:lvl w:ilvl="0" w:tplc="234CA3E2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E73266"/>
    <w:multiLevelType w:val="hybridMultilevel"/>
    <w:tmpl w:val="3E722F5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A08F9"/>
    <w:multiLevelType w:val="hybridMultilevel"/>
    <w:tmpl w:val="82B6212E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0471BA"/>
    <w:multiLevelType w:val="hybridMultilevel"/>
    <w:tmpl w:val="8928429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A73173"/>
    <w:multiLevelType w:val="hybridMultilevel"/>
    <w:tmpl w:val="9D4AB8F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A266B3"/>
    <w:multiLevelType w:val="hybridMultilevel"/>
    <w:tmpl w:val="53204FCC"/>
    <w:lvl w:ilvl="0" w:tplc="D3760C78">
      <w:start w:val="1"/>
      <w:numFmt w:val="bullet"/>
      <w:pStyle w:val="PHEBulletpoints"/>
      <w:lvlText w:val=""/>
      <w:lvlJc w:val="left"/>
      <w:pPr>
        <w:ind w:left="720" w:hanging="360"/>
      </w:pPr>
      <w:rPr>
        <w:rFonts w:ascii="Symbol" w:hAnsi="Symbol" w:hint="default"/>
        <w:color w:val="98002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E64EDC"/>
    <w:multiLevelType w:val="hybridMultilevel"/>
    <w:tmpl w:val="777683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34D0C"/>
    <w:multiLevelType w:val="hybridMultilevel"/>
    <w:tmpl w:val="13645DA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8410CD"/>
    <w:multiLevelType w:val="hybridMultilevel"/>
    <w:tmpl w:val="34B8CE50"/>
    <w:lvl w:ilvl="0" w:tplc="1C8440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5F68845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EB748F"/>
    <w:multiLevelType w:val="hybridMultilevel"/>
    <w:tmpl w:val="63D09A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21"/>
  </w:num>
  <w:num w:numId="4">
    <w:abstractNumId w:val="19"/>
  </w:num>
  <w:num w:numId="5">
    <w:abstractNumId w:val="0"/>
  </w:num>
  <w:num w:numId="6">
    <w:abstractNumId w:val="17"/>
  </w:num>
  <w:num w:numId="7">
    <w:abstractNumId w:val="24"/>
  </w:num>
  <w:num w:numId="8">
    <w:abstractNumId w:val="13"/>
  </w:num>
  <w:num w:numId="9">
    <w:abstractNumId w:val="10"/>
  </w:num>
  <w:num w:numId="10">
    <w:abstractNumId w:val="7"/>
  </w:num>
  <w:num w:numId="11">
    <w:abstractNumId w:val="16"/>
  </w:num>
  <w:num w:numId="12">
    <w:abstractNumId w:val="22"/>
  </w:num>
  <w:num w:numId="13">
    <w:abstractNumId w:val="11"/>
  </w:num>
  <w:num w:numId="14">
    <w:abstractNumId w:val="6"/>
  </w:num>
  <w:num w:numId="15">
    <w:abstractNumId w:val="0"/>
    <w:lvlOverride w:ilvl="0">
      <w:startOverride w:val="6"/>
    </w:lvlOverride>
  </w:num>
  <w:num w:numId="16">
    <w:abstractNumId w:val="12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5"/>
  </w:num>
  <w:num w:numId="20">
    <w:abstractNumId w:val="9"/>
  </w:num>
  <w:num w:numId="21">
    <w:abstractNumId w:val="4"/>
  </w:num>
  <w:num w:numId="22">
    <w:abstractNumId w:val="18"/>
  </w:num>
  <w:num w:numId="23">
    <w:abstractNumId w:val="20"/>
  </w:num>
  <w:num w:numId="24">
    <w:abstractNumId w:val="26"/>
  </w:num>
  <w:num w:numId="25">
    <w:abstractNumId w:val="2"/>
  </w:num>
  <w:num w:numId="26">
    <w:abstractNumId w:val="0"/>
  </w:num>
  <w:num w:numId="27">
    <w:abstractNumId w:val="0"/>
  </w:num>
  <w:num w:numId="28">
    <w:abstractNumId w:val="14"/>
  </w:num>
  <w:num w:numId="29">
    <w:abstractNumId w:val="23"/>
  </w:num>
  <w:num w:numId="30">
    <w:abstractNumId w:val="29"/>
  </w:num>
  <w:num w:numId="31">
    <w:abstractNumId w:val="3"/>
  </w:num>
  <w:num w:numId="32">
    <w:abstractNumId w:val="25"/>
  </w:num>
  <w:num w:numId="33">
    <w:abstractNumId w:val="30"/>
  </w:num>
  <w:num w:numId="34">
    <w:abstractNumId w:val="1"/>
  </w:num>
  <w:num w:numId="3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00"/>
    <w:rsid w:val="0000359D"/>
    <w:rsid w:val="000054D2"/>
    <w:rsid w:val="00010FA0"/>
    <w:rsid w:val="000129EE"/>
    <w:rsid w:val="00012F0C"/>
    <w:rsid w:val="000135F6"/>
    <w:rsid w:val="0001370A"/>
    <w:rsid w:val="00013C14"/>
    <w:rsid w:val="000232A6"/>
    <w:rsid w:val="00025720"/>
    <w:rsid w:val="00025F35"/>
    <w:rsid w:val="00030CF4"/>
    <w:rsid w:val="00032043"/>
    <w:rsid w:val="000349BE"/>
    <w:rsid w:val="000369C3"/>
    <w:rsid w:val="00040598"/>
    <w:rsid w:val="00040C25"/>
    <w:rsid w:val="00044F27"/>
    <w:rsid w:val="00045596"/>
    <w:rsid w:val="000458A0"/>
    <w:rsid w:val="000478D7"/>
    <w:rsid w:val="00055B60"/>
    <w:rsid w:val="00060585"/>
    <w:rsid w:val="000630CB"/>
    <w:rsid w:val="00067257"/>
    <w:rsid w:val="00071FC3"/>
    <w:rsid w:val="00073BF0"/>
    <w:rsid w:val="00073D84"/>
    <w:rsid w:val="00082445"/>
    <w:rsid w:val="00082458"/>
    <w:rsid w:val="000938F1"/>
    <w:rsid w:val="00093AC1"/>
    <w:rsid w:val="000A03DA"/>
    <w:rsid w:val="000A06DA"/>
    <w:rsid w:val="000A2626"/>
    <w:rsid w:val="000A3725"/>
    <w:rsid w:val="000A79B2"/>
    <w:rsid w:val="000B01C4"/>
    <w:rsid w:val="000B69F4"/>
    <w:rsid w:val="000C3FA2"/>
    <w:rsid w:val="000C59EF"/>
    <w:rsid w:val="000D0667"/>
    <w:rsid w:val="000D6412"/>
    <w:rsid w:val="000E375F"/>
    <w:rsid w:val="000F1DC7"/>
    <w:rsid w:val="000F36EA"/>
    <w:rsid w:val="000F5E1B"/>
    <w:rsid w:val="000F762D"/>
    <w:rsid w:val="00100BC1"/>
    <w:rsid w:val="00100F65"/>
    <w:rsid w:val="00103C8A"/>
    <w:rsid w:val="00107210"/>
    <w:rsid w:val="00112326"/>
    <w:rsid w:val="00113761"/>
    <w:rsid w:val="00113ABE"/>
    <w:rsid w:val="001147E9"/>
    <w:rsid w:val="00114EF3"/>
    <w:rsid w:val="00120905"/>
    <w:rsid w:val="00122D4A"/>
    <w:rsid w:val="0012351B"/>
    <w:rsid w:val="00123843"/>
    <w:rsid w:val="001239BB"/>
    <w:rsid w:val="00126640"/>
    <w:rsid w:val="001316F9"/>
    <w:rsid w:val="0013515A"/>
    <w:rsid w:val="00135863"/>
    <w:rsid w:val="00136BF7"/>
    <w:rsid w:val="00141352"/>
    <w:rsid w:val="001464EB"/>
    <w:rsid w:val="00151562"/>
    <w:rsid w:val="00152FFA"/>
    <w:rsid w:val="00160325"/>
    <w:rsid w:val="001610F8"/>
    <w:rsid w:val="00170D41"/>
    <w:rsid w:val="001734A9"/>
    <w:rsid w:val="00174F21"/>
    <w:rsid w:val="00176D04"/>
    <w:rsid w:val="00177E6D"/>
    <w:rsid w:val="00181165"/>
    <w:rsid w:val="00181316"/>
    <w:rsid w:val="00186157"/>
    <w:rsid w:val="001939B6"/>
    <w:rsid w:val="00196B35"/>
    <w:rsid w:val="001A183A"/>
    <w:rsid w:val="001A1D2F"/>
    <w:rsid w:val="001B2184"/>
    <w:rsid w:val="001B3359"/>
    <w:rsid w:val="001B59F4"/>
    <w:rsid w:val="001B6BFF"/>
    <w:rsid w:val="001C268F"/>
    <w:rsid w:val="001C31F8"/>
    <w:rsid w:val="001C7A41"/>
    <w:rsid w:val="001D0714"/>
    <w:rsid w:val="001D6ED9"/>
    <w:rsid w:val="001E1113"/>
    <w:rsid w:val="001E4C98"/>
    <w:rsid w:val="001E5033"/>
    <w:rsid w:val="001F0A83"/>
    <w:rsid w:val="001F47E2"/>
    <w:rsid w:val="001F53F4"/>
    <w:rsid w:val="001F6D46"/>
    <w:rsid w:val="002013E5"/>
    <w:rsid w:val="00201459"/>
    <w:rsid w:val="00204FF2"/>
    <w:rsid w:val="0020553C"/>
    <w:rsid w:val="002106D2"/>
    <w:rsid w:val="00212FAD"/>
    <w:rsid w:val="00213E39"/>
    <w:rsid w:val="0021704C"/>
    <w:rsid w:val="00221B80"/>
    <w:rsid w:val="002316CB"/>
    <w:rsid w:val="0023192F"/>
    <w:rsid w:val="00234EF6"/>
    <w:rsid w:val="002353A5"/>
    <w:rsid w:val="002375D7"/>
    <w:rsid w:val="00240BB3"/>
    <w:rsid w:val="00247CDA"/>
    <w:rsid w:val="00250E27"/>
    <w:rsid w:val="00256806"/>
    <w:rsid w:val="00260345"/>
    <w:rsid w:val="00260C75"/>
    <w:rsid w:val="002620BB"/>
    <w:rsid w:val="00275E53"/>
    <w:rsid w:val="0027613C"/>
    <w:rsid w:val="00282B39"/>
    <w:rsid w:val="00284003"/>
    <w:rsid w:val="00285190"/>
    <w:rsid w:val="00286DB6"/>
    <w:rsid w:val="002917ED"/>
    <w:rsid w:val="002A0394"/>
    <w:rsid w:val="002A2775"/>
    <w:rsid w:val="002A52E5"/>
    <w:rsid w:val="002B5F16"/>
    <w:rsid w:val="002B701F"/>
    <w:rsid w:val="002B7BA7"/>
    <w:rsid w:val="002C48A6"/>
    <w:rsid w:val="002D4D1F"/>
    <w:rsid w:val="002D59DB"/>
    <w:rsid w:val="002E0E94"/>
    <w:rsid w:val="002E1207"/>
    <w:rsid w:val="002E5753"/>
    <w:rsid w:val="002F7264"/>
    <w:rsid w:val="00303ED6"/>
    <w:rsid w:val="00304CBB"/>
    <w:rsid w:val="003104D4"/>
    <w:rsid w:val="00316B3B"/>
    <w:rsid w:val="00327A1E"/>
    <w:rsid w:val="00327A97"/>
    <w:rsid w:val="003356EE"/>
    <w:rsid w:val="00336C7B"/>
    <w:rsid w:val="003373C2"/>
    <w:rsid w:val="00337DB8"/>
    <w:rsid w:val="00342C22"/>
    <w:rsid w:val="0034377A"/>
    <w:rsid w:val="003500AB"/>
    <w:rsid w:val="003548C7"/>
    <w:rsid w:val="00362E31"/>
    <w:rsid w:val="0037240A"/>
    <w:rsid w:val="0037367F"/>
    <w:rsid w:val="0037441D"/>
    <w:rsid w:val="00382712"/>
    <w:rsid w:val="00383BF3"/>
    <w:rsid w:val="00385D71"/>
    <w:rsid w:val="0038731C"/>
    <w:rsid w:val="00387B0A"/>
    <w:rsid w:val="00393BFA"/>
    <w:rsid w:val="00395CBD"/>
    <w:rsid w:val="00397C2D"/>
    <w:rsid w:val="00397DBD"/>
    <w:rsid w:val="003A38FC"/>
    <w:rsid w:val="003A4EC0"/>
    <w:rsid w:val="003A5379"/>
    <w:rsid w:val="003A7B68"/>
    <w:rsid w:val="003B12E6"/>
    <w:rsid w:val="003B1913"/>
    <w:rsid w:val="003B364D"/>
    <w:rsid w:val="003B6E5E"/>
    <w:rsid w:val="003D322F"/>
    <w:rsid w:val="003E1D0B"/>
    <w:rsid w:val="003E228C"/>
    <w:rsid w:val="003E2410"/>
    <w:rsid w:val="003E439F"/>
    <w:rsid w:val="003F1C59"/>
    <w:rsid w:val="003F2ACB"/>
    <w:rsid w:val="003F5784"/>
    <w:rsid w:val="00401313"/>
    <w:rsid w:val="00410966"/>
    <w:rsid w:val="004127D9"/>
    <w:rsid w:val="00415D07"/>
    <w:rsid w:val="00421192"/>
    <w:rsid w:val="0042146D"/>
    <w:rsid w:val="00423AE2"/>
    <w:rsid w:val="0042422C"/>
    <w:rsid w:val="004256BC"/>
    <w:rsid w:val="004533D8"/>
    <w:rsid w:val="00460D68"/>
    <w:rsid w:val="0046338F"/>
    <w:rsid w:val="0046555E"/>
    <w:rsid w:val="0046693A"/>
    <w:rsid w:val="00475F12"/>
    <w:rsid w:val="004902DD"/>
    <w:rsid w:val="004912D1"/>
    <w:rsid w:val="004925B6"/>
    <w:rsid w:val="0049361E"/>
    <w:rsid w:val="00494C6C"/>
    <w:rsid w:val="00496201"/>
    <w:rsid w:val="00497E97"/>
    <w:rsid w:val="004A31C7"/>
    <w:rsid w:val="004A353E"/>
    <w:rsid w:val="004A575C"/>
    <w:rsid w:val="004A5B28"/>
    <w:rsid w:val="004C56F7"/>
    <w:rsid w:val="004C7ADE"/>
    <w:rsid w:val="004D10A1"/>
    <w:rsid w:val="004D41F4"/>
    <w:rsid w:val="004D67BD"/>
    <w:rsid w:val="004E23A4"/>
    <w:rsid w:val="004E45DB"/>
    <w:rsid w:val="004F15E5"/>
    <w:rsid w:val="004F692D"/>
    <w:rsid w:val="004F6D96"/>
    <w:rsid w:val="00502BE9"/>
    <w:rsid w:val="00502C67"/>
    <w:rsid w:val="00510975"/>
    <w:rsid w:val="00512900"/>
    <w:rsid w:val="00512CCF"/>
    <w:rsid w:val="00526E17"/>
    <w:rsid w:val="00527211"/>
    <w:rsid w:val="005314AE"/>
    <w:rsid w:val="0053731D"/>
    <w:rsid w:val="00537D2C"/>
    <w:rsid w:val="00541D44"/>
    <w:rsid w:val="00542FD9"/>
    <w:rsid w:val="00545A67"/>
    <w:rsid w:val="00547B95"/>
    <w:rsid w:val="005504F0"/>
    <w:rsid w:val="00553F16"/>
    <w:rsid w:val="00555300"/>
    <w:rsid w:val="00555E62"/>
    <w:rsid w:val="00564483"/>
    <w:rsid w:val="005646C4"/>
    <w:rsid w:val="0057046E"/>
    <w:rsid w:val="0057073C"/>
    <w:rsid w:val="00573AEF"/>
    <w:rsid w:val="00574AD1"/>
    <w:rsid w:val="005771B1"/>
    <w:rsid w:val="0058102E"/>
    <w:rsid w:val="005812DC"/>
    <w:rsid w:val="005813D4"/>
    <w:rsid w:val="00584222"/>
    <w:rsid w:val="00584AB4"/>
    <w:rsid w:val="00586A58"/>
    <w:rsid w:val="005878D5"/>
    <w:rsid w:val="00587C4D"/>
    <w:rsid w:val="00591949"/>
    <w:rsid w:val="0059393A"/>
    <w:rsid w:val="00593C11"/>
    <w:rsid w:val="00595A16"/>
    <w:rsid w:val="005A1C69"/>
    <w:rsid w:val="005A5993"/>
    <w:rsid w:val="005A5ED4"/>
    <w:rsid w:val="005A7AAB"/>
    <w:rsid w:val="005B3484"/>
    <w:rsid w:val="005B41C1"/>
    <w:rsid w:val="005B47CD"/>
    <w:rsid w:val="005B67DA"/>
    <w:rsid w:val="005C791F"/>
    <w:rsid w:val="005D231B"/>
    <w:rsid w:val="005E0837"/>
    <w:rsid w:val="005E212D"/>
    <w:rsid w:val="005E34F7"/>
    <w:rsid w:val="005F1210"/>
    <w:rsid w:val="005F3083"/>
    <w:rsid w:val="005F328E"/>
    <w:rsid w:val="005F4697"/>
    <w:rsid w:val="005F4B6C"/>
    <w:rsid w:val="005F6A92"/>
    <w:rsid w:val="005F73C2"/>
    <w:rsid w:val="00604D52"/>
    <w:rsid w:val="00610393"/>
    <w:rsid w:val="00611994"/>
    <w:rsid w:val="00614F98"/>
    <w:rsid w:val="006174FB"/>
    <w:rsid w:val="006268FF"/>
    <w:rsid w:val="00630B80"/>
    <w:rsid w:val="00643059"/>
    <w:rsid w:val="006504AC"/>
    <w:rsid w:val="00652369"/>
    <w:rsid w:val="0066185B"/>
    <w:rsid w:val="00662AD9"/>
    <w:rsid w:val="006729CE"/>
    <w:rsid w:val="00675852"/>
    <w:rsid w:val="006777C2"/>
    <w:rsid w:val="00685B73"/>
    <w:rsid w:val="006930BA"/>
    <w:rsid w:val="0069310C"/>
    <w:rsid w:val="00693CBC"/>
    <w:rsid w:val="0069535D"/>
    <w:rsid w:val="006A608E"/>
    <w:rsid w:val="006B0238"/>
    <w:rsid w:val="006B0B31"/>
    <w:rsid w:val="006B185A"/>
    <w:rsid w:val="006B1B64"/>
    <w:rsid w:val="006B2E09"/>
    <w:rsid w:val="006C2764"/>
    <w:rsid w:val="006C7311"/>
    <w:rsid w:val="006D184F"/>
    <w:rsid w:val="006D1979"/>
    <w:rsid w:val="006D50F2"/>
    <w:rsid w:val="006D51C6"/>
    <w:rsid w:val="006E18D0"/>
    <w:rsid w:val="006E788D"/>
    <w:rsid w:val="006F4737"/>
    <w:rsid w:val="006F4B0D"/>
    <w:rsid w:val="006F5150"/>
    <w:rsid w:val="006F5254"/>
    <w:rsid w:val="006F5304"/>
    <w:rsid w:val="0070283E"/>
    <w:rsid w:val="00702A56"/>
    <w:rsid w:val="007072C1"/>
    <w:rsid w:val="0072575F"/>
    <w:rsid w:val="00725A4E"/>
    <w:rsid w:val="00732C89"/>
    <w:rsid w:val="00733F86"/>
    <w:rsid w:val="00734230"/>
    <w:rsid w:val="007370F0"/>
    <w:rsid w:val="0075232B"/>
    <w:rsid w:val="00753704"/>
    <w:rsid w:val="0075415A"/>
    <w:rsid w:val="007633A2"/>
    <w:rsid w:val="00767E22"/>
    <w:rsid w:val="00787E9D"/>
    <w:rsid w:val="0079568E"/>
    <w:rsid w:val="00797C46"/>
    <w:rsid w:val="007A2173"/>
    <w:rsid w:val="007A553F"/>
    <w:rsid w:val="007B1CD6"/>
    <w:rsid w:val="007B65C9"/>
    <w:rsid w:val="007B6AE0"/>
    <w:rsid w:val="007B7D76"/>
    <w:rsid w:val="007C2357"/>
    <w:rsid w:val="007C279F"/>
    <w:rsid w:val="007C3759"/>
    <w:rsid w:val="007C4D1C"/>
    <w:rsid w:val="007D7FC2"/>
    <w:rsid w:val="007E3F32"/>
    <w:rsid w:val="007E3FBF"/>
    <w:rsid w:val="007E52D7"/>
    <w:rsid w:val="007E5D9C"/>
    <w:rsid w:val="007F3A66"/>
    <w:rsid w:val="0081084B"/>
    <w:rsid w:val="008215CA"/>
    <w:rsid w:val="00830C45"/>
    <w:rsid w:val="00832247"/>
    <w:rsid w:val="00834821"/>
    <w:rsid w:val="00834E43"/>
    <w:rsid w:val="00835903"/>
    <w:rsid w:val="00835B91"/>
    <w:rsid w:val="00836E0A"/>
    <w:rsid w:val="0084025F"/>
    <w:rsid w:val="00845D1B"/>
    <w:rsid w:val="00846C43"/>
    <w:rsid w:val="00850F3A"/>
    <w:rsid w:val="008521E5"/>
    <w:rsid w:val="00854903"/>
    <w:rsid w:val="00857B7E"/>
    <w:rsid w:val="0086329F"/>
    <w:rsid w:val="00867A5E"/>
    <w:rsid w:val="00875DF1"/>
    <w:rsid w:val="00877F0E"/>
    <w:rsid w:val="008807CF"/>
    <w:rsid w:val="00884E81"/>
    <w:rsid w:val="008874A7"/>
    <w:rsid w:val="00887F57"/>
    <w:rsid w:val="0089131A"/>
    <w:rsid w:val="00895DAE"/>
    <w:rsid w:val="008B0F6D"/>
    <w:rsid w:val="008B566F"/>
    <w:rsid w:val="008B794E"/>
    <w:rsid w:val="008C38BE"/>
    <w:rsid w:val="008C5BE4"/>
    <w:rsid w:val="008D20F8"/>
    <w:rsid w:val="008D2B1B"/>
    <w:rsid w:val="008D4DDD"/>
    <w:rsid w:val="008D704D"/>
    <w:rsid w:val="008E56EF"/>
    <w:rsid w:val="008F3568"/>
    <w:rsid w:val="00906D77"/>
    <w:rsid w:val="0090725A"/>
    <w:rsid w:val="00907D7C"/>
    <w:rsid w:val="00910459"/>
    <w:rsid w:val="00910942"/>
    <w:rsid w:val="009122B8"/>
    <w:rsid w:val="00914B31"/>
    <w:rsid w:val="00915910"/>
    <w:rsid w:val="00924FE8"/>
    <w:rsid w:val="0092508B"/>
    <w:rsid w:val="00931460"/>
    <w:rsid w:val="00933271"/>
    <w:rsid w:val="00933D88"/>
    <w:rsid w:val="009358A9"/>
    <w:rsid w:val="0093642B"/>
    <w:rsid w:val="0093737B"/>
    <w:rsid w:val="009426D2"/>
    <w:rsid w:val="00943711"/>
    <w:rsid w:val="009455AF"/>
    <w:rsid w:val="00945DD4"/>
    <w:rsid w:val="00946E72"/>
    <w:rsid w:val="00950B38"/>
    <w:rsid w:val="00951BC4"/>
    <w:rsid w:val="00952DF8"/>
    <w:rsid w:val="00960190"/>
    <w:rsid w:val="009606A3"/>
    <w:rsid w:val="00963397"/>
    <w:rsid w:val="00964ACA"/>
    <w:rsid w:val="00967948"/>
    <w:rsid w:val="00967C44"/>
    <w:rsid w:val="00970695"/>
    <w:rsid w:val="00971E10"/>
    <w:rsid w:val="00972456"/>
    <w:rsid w:val="00975446"/>
    <w:rsid w:val="00975B4F"/>
    <w:rsid w:val="009771C8"/>
    <w:rsid w:val="00980489"/>
    <w:rsid w:val="00983766"/>
    <w:rsid w:val="00996F8F"/>
    <w:rsid w:val="009A534F"/>
    <w:rsid w:val="009B0CDE"/>
    <w:rsid w:val="009B11EE"/>
    <w:rsid w:val="009B3EFB"/>
    <w:rsid w:val="009C3024"/>
    <w:rsid w:val="009C7E8E"/>
    <w:rsid w:val="009D5DE2"/>
    <w:rsid w:val="009D6355"/>
    <w:rsid w:val="009D75D4"/>
    <w:rsid w:val="009E1EE0"/>
    <w:rsid w:val="009E31B0"/>
    <w:rsid w:val="009E3727"/>
    <w:rsid w:val="009F28D5"/>
    <w:rsid w:val="009F348C"/>
    <w:rsid w:val="009F35C9"/>
    <w:rsid w:val="009F5A6B"/>
    <w:rsid w:val="009F745D"/>
    <w:rsid w:val="00A063D5"/>
    <w:rsid w:val="00A07380"/>
    <w:rsid w:val="00A162E6"/>
    <w:rsid w:val="00A23482"/>
    <w:rsid w:val="00A23776"/>
    <w:rsid w:val="00A302A6"/>
    <w:rsid w:val="00A30761"/>
    <w:rsid w:val="00A31E23"/>
    <w:rsid w:val="00A32BBE"/>
    <w:rsid w:val="00A33D2E"/>
    <w:rsid w:val="00A36A98"/>
    <w:rsid w:val="00A40CD9"/>
    <w:rsid w:val="00A4251D"/>
    <w:rsid w:val="00A504D6"/>
    <w:rsid w:val="00A531EA"/>
    <w:rsid w:val="00A5510D"/>
    <w:rsid w:val="00A56BA2"/>
    <w:rsid w:val="00A572B8"/>
    <w:rsid w:val="00A606F0"/>
    <w:rsid w:val="00A607C1"/>
    <w:rsid w:val="00A71161"/>
    <w:rsid w:val="00A72AD9"/>
    <w:rsid w:val="00A76CD7"/>
    <w:rsid w:val="00A92918"/>
    <w:rsid w:val="00A97CE4"/>
    <w:rsid w:val="00AA649E"/>
    <w:rsid w:val="00AC268C"/>
    <w:rsid w:val="00AC3992"/>
    <w:rsid w:val="00AD1290"/>
    <w:rsid w:val="00AD34B3"/>
    <w:rsid w:val="00AE00B8"/>
    <w:rsid w:val="00AE1E89"/>
    <w:rsid w:val="00AE2DA9"/>
    <w:rsid w:val="00AE47E1"/>
    <w:rsid w:val="00AE6FC7"/>
    <w:rsid w:val="00AF0DD7"/>
    <w:rsid w:val="00AF3424"/>
    <w:rsid w:val="00AF47AF"/>
    <w:rsid w:val="00AF4A75"/>
    <w:rsid w:val="00B215D0"/>
    <w:rsid w:val="00B22A8D"/>
    <w:rsid w:val="00B24989"/>
    <w:rsid w:val="00B30A21"/>
    <w:rsid w:val="00B3241D"/>
    <w:rsid w:val="00B43797"/>
    <w:rsid w:val="00B47FB3"/>
    <w:rsid w:val="00B56A8D"/>
    <w:rsid w:val="00B6098D"/>
    <w:rsid w:val="00B609B1"/>
    <w:rsid w:val="00B6137C"/>
    <w:rsid w:val="00B61DFF"/>
    <w:rsid w:val="00B7063B"/>
    <w:rsid w:val="00B7169D"/>
    <w:rsid w:val="00B72849"/>
    <w:rsid w:val="00B72A9E"/>
    <w:rsid w:val="00B829F4"/>
    <w:rsid w:val="00B82C15"/>
    <w:rsid w:val="00B83F55"/>
    <w:rsid w:val="00B96463"/>
    <w:rsid w:val="00B9716C"/>
    <w:rsid w:val="00BA26B3"/>
    <w:rsid w:val="00BA329C"/>
    <w:rsid w:val="00BA4EC4"/>
    <w:rsid w:val="00BA6058"/>
    <w:rsid w:val="00BB13C0"/>
    <w:rsid w:val="00BB1567"/>
    <w:rsid w:val="00BB4A93"/>
    <w:rsid w:val="00BB7549"/>
    <w:rsid w:val="00BC0D85"/>
    <w:rsid w:val="00BC2C18"/>
    <w:rsid w:val="00BC37CF"/>
    <w:rsid w:val="00BC7615"/>
    <w:rsid w:val="00BD0AB9"/>
    <w:rsid w:val="00BE59FF"/>
    <w:rsid w:val="00BE756D"/>
    <w:rsid w:val="00BF3596"/>
    <w:rsid w:val="00C01D34"/>
    <w:rsid w:val="00C03B95"/>
    <w:rsid w:val="00C05166"/>
    <w:rsid w:val="00C13395"/>
    <w:rsid w:val="00C167B6"/>
    <w:rsid w:val="00C215E9"/>
    <w:rsid w:val="00C22A54"/>
    <w:rsid w:val="00C23746"/>
    <w:rsid w:val="00C23F9D"/>
    <w:rsid w:val="00C2593B"/>
    <w:rsid w:val="00C3037F"/>
    <w:rsid w:val="00C31867"/>
    <w:rsid w:val="00C331DE"/>
    <w:rsid w:val="00C33F94"/>
    <w:rsid w:val="00C37DBB"/>
    <w:rsid w:val="00C46B18"/>
    <w:rsid w:val="00C4717B"/>
    <w:rsid w:val="00C477FA"/>
    <w:rsid w:val="00C55077"/>
    <w:rsid w:val="00C56F6D"/>
    <w:rsid w:val="00C62675"/>
    <w:rsid w:val="00C655D2"/>
    <w:rsid w:val="00C65847"/>
    <w:rsid w:val="00C6723E"/>
    <w:rsid w:val="00C7528F"/>
    <w:rsid w:val="00C75D69"/>
    <w:rsid w:val="00C845B7"/>
    <w:rsid w:val="00C859AB"/>
    <w:rsid w:val="00CA2ABB"/>
    <w:rsid w:val="00CA6510"/>
    <w:rsid w:val="00CB5304"/>
    <w:rsid w:val="00CB6DE5"/>
    <w:rsid w:val="00CD5BCE"/>
    <w:rsid w:val="00CE019D"/>
    <w:rsid w:val="00CE188E"/>
    <w:rsid w:val="00CF11A0"/>
    <w:rsid w:val="00CF6DA9"/>
    <w:rsid w:val="00CF7A67"/>
    <w:rsid w:val="00D06370"/>
    <w:rsid w:val="00D11AD3"/>
    <w:rsid w:val="00D1772F"/>
    <w:rsid w:val="00D20433"/>
    <w:rsid w:val="00D252A9"/>
    <w:rsid w:val="00D320D4"/>
    <w:rsid w:val="00D360B7"/>
    <w:rsid w:val="00D36CA4"/>
    <w:rsid w:val="00D4123F"/>
    <w:rsid w:val="00D42323"/>
    <w:rsid w:val="00D434B1"/>
    <w:rsid w:val="00D53F2F"/>
    <w:rsid w:val="00D54F75"/>
    <w:rsid w:val="00D558FF"/>
    <w:rsid w:val="00D55BBF"/>
    <w:rsid w:val="00D57A50"/>
    <w:rsid w:val="00D61213"/>
    <w:rsid w:val="00D65029"/>
    <w:rsid w:val="00D728FD"/>
    <w:rsid w:val="00D72E6C"/>
    <w:rsid w:val="00D75D27"/>
    <w:rsid w:val="00D84121"/>
    <w:rsid w:val="00D85A4E"/>
    <w:rsid w:val="00D879CB"/>
    <w:rsid w:val="00D87B91"/>
    <w:rsid w:val="00D9051A"/>
    <w:rsid w:val="00D94507"/>
    <w:rsid w:val="00D948E0"/>
    <w:rsid w:val="00D950B6"/>
    <w:rsid w:val="00D96205"/>
    <w:rsid w:val="00DA0E9F"/>
    <w:rsid w:val="00DA1283"/>
    <w:rsid w:val="00DA3501"/>
    <w:rsid w:val="00DA5851"/>
    <w:rsid w:val="00DB42C0"/>
    <w:rsid w:val="00DB5D10"/>
    <w:rsid w:val="00DC0BDD"/>
    <w:rsid w:val="00DC2FBB"/>
    <w:rsid w:val="00DC489D"/>
    <w:rsid w:val="00DD1689"/>
    <w:rsid w:val="00DD187D"/>
    <w:rsid w:val="00DD75EF"/>
    <w:rsid w:val="00DE037F"/>
    <w:rsid w:val="00DE2D24"/>
    <w:rsid w:val="00DE3533"/>
    <w:rsid w:val="00E052BD"/>
    <w:rsid w:val="00E06D16"/>
    <w:rsid w:val="00E17C5A"/>
    <w:rsid w:val="00E20235"/>
    <w:rsid w:val="00E219A0"/>
    <w:rsid w:val="00E254DB"/>
    <w:rsid w:val="00E3274E"/>
    <w:rsid w:val="00E3308D"/>
    <w:rsid w:val="00E43C47"/>
    <w:rsid w:val="00E44D57"/>
    <w:rsid w:val="00E47B34"/>
    <w:rsid w:val="00E5266B"/>
    <w:rsid w:val="00E54606"/>
    <w:rsid w:val="00E558CC"/>
    <w:rsid w:val="00E56BCA"/>
    <w:rsid w:val="00E57041"/>
    <w:rsid w:val="00E60235"/>
    <w:rsid w:val="00E613CA"/>
    <w:rsid w:val="00E66957"/>
    <w:rsid w:val="00E66967"/>
    <w:rsid w:val="00E722F5"/>
    <w:rsid w:val="00E74263"/>
    <w:rsid w:val="00E811CC"/>
    <w:rsid w:val="00E871E2"/>
    <w:rsid w:val="00E92675"/>
    <w:rsid w:val="00EA0D25"/>
    <w:rsid w:val="00EB1D25"/>
    <w:rsid w:val="00EB4EA4"/>
    <w:rsid w:val="00EC287D"/>
    <w:rsid w:val="00EC2BCC"/>
    <w:rsid w:val="00EC3C96"/>
    <w:rsid w:val="00ED1C1A"/>
    <w:rsid w:val="00EE159D"/>
    <w:rsid w:val="00EE15E4"/>
    <w:rsid w:val="00EE3EC9"/>
    <w:rsid w:val="00EF6756"/>
    <w:rsid w:val="00F005A5"/>
    <w:rsid w:val="00F01B51"/>
    <w:rsid w:val="00F15B45"/>
    <w:rsid w:val="00F169BB"/>
    <w:rsid w:val="00F20C64"/>
    <w:rsid w:val="00F22DF1"/>
    <w:rsid w:val="00F22E94"/>
    <w:rsid w:val="00F23D36"/>
    <w:rsid w:val="00F2519E"/>
    <w:rsid w:val="00F35B3E"/>
    <w:rsid w:val="00F404D0"/>
    <w:rsid w:val="00F43C8B"/>
    <w:rsid w:val="00F45C05"/>
    <w:rsid w:val="00F56588"/>
    <w:rsid w:val="00F56809"/>
    <w:rsid w:val="00F61A13"/>
    <w:rsid w:val="00F63563"/>
    <w:rsid w:val="00F640F2"/>
    <w:rsid w:val="00F722E2"/>
    <w:rsid w:val="00F7560D"/>
    <w:rsid w:val="00F75938"/>
    <w:rsid w:val="00F76B06"/>
    <w:rsid w:val="00F83559"/>
    <w:rsid w:val="00F8559A"/>
    <w:rsid w:val="00F90246"/>
    <w:rsid w:val="00F92E45"/>
    <w:rsid w:val="00FA026C"/>
    <w:rsid w:val="00FA24CA"/>
    <w:rsid w:val="00FB4131"/>
    <w:rsid w:val="00FB49D8"/>
    <w:rsid w:val="00FC28C5"/>
    <w:rsid w:val="00FC2B5F"/>
    <w:rsid w:val="00FC3366"/>
    <w:rsid w:val="00FC341D"/>
    <w:rsid w:val="00FD0A38"/>
    <w:rsid w:val="00FD0C37"/>
    <w:rsid w:val="00FD3FB5"/>
    <w:rsid w:val="00FD6E27"/>
    <w:rsid w:val="00FE5ADA"/>
    <w:rsid w:val="00FF0349"/>
    <w:rsid w:val="00FF2795"/>
    <w:rsid w:val="00FF2A94"/>
    <w:rsid w:val="00FF3797"/>
    <w:rsid w:val="00FF3B93"/>
    <w:rsid w:val="00FF3DF6"/>
    <w:rsid w:val="00FF4EF4"/>
    <w:rsid w:val="00FF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72C05F2"/>
  <w15:docId w15:val="{EFF961B0-E73F-456C-983B-002F4FDA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3E3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E3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EFigureschartstitle">
    <w:name w:val="PHE Figures/charts title"/>
    <w:basedOn w:val="Normal"/>
    <w:rsid w:val="000C59EF"/>
    <w:pPr>
      <w:spacing w:line="280" w:lineRule="atLeast"/>
    </w:pPr>
    <w:rPr>
      <w:rFonts w:cs="Times New Roman"/>
      <w:b/>
    </w:rPr>
  </w:style>
  <w:style w:type="paragraph" w:customStyle="1" w:styleId="PHEBodycopy">
    <w:name w:val="PHE Body copy"/>
    <w:basedOn w:val="Normal"/>
    <w:rsid w:val="00D55BBF"/>
    <w:pPr>
      <w:spacing w:line="320" w:lineRule="atLeast"/>
      <w:ind w:right="794"/>
    </w:pPr>
    <w:rPr>
      <w:rFonts w:cs="Times New Roman"/>
      <w:lang w:eastAsia="en-GB"/>
    </w:rPr>
  </w:style>
  <w:style w:type="character" w:styleId="FollowedHyperlink">
    <w:name w:val="FollowedHyperlink"/>
    <w:rsid w:val="005771B1"/>
    <w:rPr>
      <w:color w:val="98002E"/>
      <w:u w:val="none"/>
    </w:rPr>
  </w:style>
  <w:style w:type="paragraph" w:customStyle="1" w:styleId="PHENumberedbodytext">
    <w:name w:val="PHE Numbered body text"/>
    <w:basedOn w:val="PHEBodycopy"/>
    <w:rsid w:val="00A504D6"/>
    <w:pPr>
      <w:numPr>
        <w:ilvl w:val="1"/>
        <w:numId w:val="1"/>
      </w:numPr>
      <w:ind w:left="567" w:hanging="567"/>
    </w:pPr>
  </w:style>
  <w:style w:type="paragraph" w:customStyle="1" w:styleId="PHEBulletpoints">
    <w:name w:val="PHE Bullet points"/>
    <w:link w:val="PHEBulletpointsChar"/>
    <w:rsid w:val="00502BE9"/>
    <w:pPr>
      <w:numPr>
        <w:numId w:val="2"/>
      </w:numPr>
      <w:spacing w:line="320" w:lineRule="exact"/>
      <w:ind w:left="357" w:right="794" w:hanging="357"/>
    </w:pPr>
    <w:rPr>
      <w:rFonts w:ascii="Arial" w:hAnsi="Arial"/>
      <w:sz w:val="24"/>
      <w:szCs w:val="24"/>
      <w:lang w:eastAsia="en-US"/>
    </w:rPr>
  </w:style>
  <w:style w:type="paragraph" w:customStyle="1" w:styleId="PHESecondaryHeadingOne">
    <w:name w:val="PHE Secondary Heading One"/>
    <w:basedOn w:val="Normal"/>
    <w:rsid w:val="00B22A8D"/>
    <w:pPr>
      <w:spacing w:after="320" w:line="360" w:lineRule="exact"/>
    </w:pPr>
    <w:rPr>
      <w:rFonts w:cs="Times New Roman"/>
      <w:color w:val="98002E"/>
      <w:sz w:val="28"/>
    </w:rPr>
  </w:style>
  <w:style w:type="paragraph" w:customStyle="1" w:styleId="PHEChapterheading">
    <w:name w:val="PHE Chapter heading"/>
    <w:basedOn w:val="Normal"/>
    <w:rsid w:val="0069535D"/>
    <w:pPr>
      <w:spacing w:after="480" w:line="660" w:lineRule="exact"/>
      <w:ind w:right="794"/>
      <w:outlineLvl w:val="0"/>
    </w:pPr>
    <w:rPr>
      <w:rFonts w:cs="Times New Roman"/>
      <w:color w:val="98002E"/>
      <w:sz w:val="48"/>
      <w:szCs w:val="48"/>
    </w:rPr>
  </w:style>
  <w:style w:type="paragraph" w:customStyle="1" w:styleId="PHEFootnote">
    <w:name w:val="PHE Footnote"/>
    <w:basedOn w:val="Normal"/>
    <w:rsid w:val="00CF11A0"/>
    <w:pPr>
      <w:spacing w:line="240" w:lineRule="exact"/>
    </w:pPr>
    <w:rPr>
      <w:rFonts w:cs="Times New Roman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75446"/>
    <w:rPr>
      <w:rFonts w:ascii="Tahoma" w:hAnsi="Tahoma" w:cs="Times New Roman"/>
      <w:sz w:val="16"/>
      <w:szCs w:val="16"/>
      <w:lang w:val="x-none"/>
    </w:rPr>
  </w:style>
  <w:style w:type="character" w:customStyle="1" w:styleId="DocumentMapChar">
    <w:name w:val="Document Map Char"/>
    <w:link w:val="DocumentMap"/>
    <w:uiPriority w:val="99"/>
    <w:semiHidden/>
    <w:rsid w:val="00975446"/>
    <w:rPr>
      <w:rFonts w:ascii="Tahoma" w:hAnsi="Tahoma" w:cs="Tahoma"/>
      <w:sz w:val="16"/>
      <w:szCs w:val="16"/>
      <w:lang w:eastAsia="en-US"/>
    </w:rPr>
  </w:style>
  <w:style w:type="paragraph" w:customStyle="1" w:styleId="PHEMaintitleasrunningheader">
    <w:name w:val="PHE Main title as running header"/>
    <w:basedOn w:val="Normal"/>
    <w:rsid w:val="006A608E"/>
    <w:pPr>
      <w:spacing w:line="240" w:lineRule="exact"/>
    </w:pPr>
    <w:rPr>
      <w:rFonts w:cs="Times New Roman"/>
      <w:color w:val="7F7F7F"/>
      <w:sz w:val="20"/>
    </w:rPr>
  </w:style>
  <w:style w:type="character" w:styleId="Hyperlink">
    <w:name w:val="Hyperlink"/>
    <w:uiPriority w:val="99"/>
    <w:rsid w:val="00073BF0"/>
    <w:rPr>
      <w:color w:val="98002E"/>
      <w:u w:val="none"/>
    </w:rPr>
  </w:style>
  <w:style w:type="paragraph" w:styleId="TOC1">
    <w:name w:val="toc 1"/>
    <w:basedOn w:val="Normal"/>
    <w:next w:val="Normal"/>
    <w:link w:val="TOC1Char"/>
    <w:autoRedefine/>
    <w:uiPriority w:val="39"/>
    <w:rsid w:val="001B2184"/>
    <w:pPr>
      <w:keepLines/>
      <w:widowControl w:val="0"/>
      <w:tabs>
        <w:tab w:val="left" w:pos="480"/>
        <w:tab w:val="right" w:pos="9356"/>
      </w:tabs>
      <w:spacing w:after="120" w:line="320" w:lineRule="exact"/>
    </w:pPr>
    <w:rPr>
      <w:rFonts w:cs="Times New Roman"/>
      <w:noProof/>
      <w:lang w:val="x-none"/>
    </w:rPr>
  </w:style>
  <w:style w:type="character" w:customStyle="1" w:styleId="TOC1Char">
    <w:name w:val="TOC 1 Char"/>
    <w:link w:val="TOC1"/>
    <w:uiPriority w:val="39"/>
    <w:rsid w:val="001B2184"/>
    <w:rPr>
      <w:rFonts w:ascii="Arial" w:hAnsi="Arial"/>
      <w:noProof/>
      <w:sz w:val="24"/>
      <w:lang w:val="x-none" w:eastAsia="en-US"/>
    </w:rPr>
  </w:style>
  <w:style w:type="paragraph" w:styleId="TOC2">
    <w:name w:val="toc 2"/>
    <w:basedOn w:val="Normal"/>
    <w:next w:val="Normal"/>
    <w:autoRedefine/>
    <w:uiPriority w:val="39"/>
    <w:rsid w:val="009F5A6B"/>
    <w:pPr>
      <w:tabs>
        <w:tab w:val="right" w:pos="9356"/>
      </w:tabs>
      <w:ind w:left="240"/>
    </w:pPr>
  </w:style>
  <w:style w:type="paragraph" w:styleId="TOC3">
    <w:name w:val="toc 3"/>
    <w:basedOn w:val="Normal"/>
    <w:next w:val="Normal"/>
    <w:autoRedefine/>
    <w:uiPriority w:val="39"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customStyle="1" w:styleId="PHEFrontpagemaintitle">
    <w:name w:val="PHE Front page main title"/>
    <w:basedOn w:val="Heading2Char"/>
    <w:qFormat/>
    <w:rsid w:val="000D0667"/>
    <w:rPr>
      <w:rFonts w:ascii="Arial" w:eastAsia="Times New Roman" w:hAnsi="Arial" w:cs="Times New Roman"/>
      <w:b w:val="0"/>
      <w:bCs w:val="0"/>
      <w:i w:val="0"/>
      <w:iCs/>
      <w:color w:val="98002E"/>
      <w:sz w:val="32"/>
      <w:szCs w:val="28"/>
      <w:lang w:eastAsia="en-US"/>
    </w:rPr>
  </w:style>
  <w:style w:type="character" w:customStyle="1" w:styleId="PHEFrontpagetitlesecondlevel">
    <w:name w:val="PHE Front page title second level"/>
    <w:rsid w:val="009E3727"/>
    <w:rPr>
      <w:rFonts w:ascii="Arial" w:hAnsi="Arial"/>
      <w:b w:val="0"/>
      <w:bCs/>
      <w:color w:val="98002E"/>
      <w:sz w:val="52"/>
    </w:rPr>
  </w:style>
  <w:style w:type="paragraph" w:customStyle="1" w:styleId="PHEFrontpagesubtitle">
    <w:name w:val="PHE Front page subtitle"/>
    <w:basedOn w:val="Normal"/>
    <w:rsid w:val="009E3727"/>
    <w:pPr>
      <w:tabs>
        <w:tab w:val="left" w:pos="0"/>
      </w:tabs>
      <w:ind w:right="566"/>
    </w:pPr>
    <w:rPr>
      <w:rFonts w:cs="Times New Roman"/>
      <w:color w:val="000000"/>
      <w:lang w:eastAsia="en-GB"/>
    </w:rPr>
  </w:style>
  <w:style w:type="paragraph" w:customStyle="1" w:styleId="PHESecondaryHeadingTwo">
    <w:name w:val="PHE Secondary Heading Two"/>
    <w:basedOn w:val="PHESecondaryHeadingOne"/>
    <w:qFormat/>
    <w:rsid w:val="00ED1C1A"/>
    <w:pPr>
      <w:spacing w:after="360"/>
    </w:pPr>
    <w:rPr>
      <w:sz w:val="26"/>
    </w:rPr>
  </w:style>
  <w:style w:type="paragraph" w:customStyle="1" w:styleId="PHEContentslist">
    <w:name w:val="PHE Contents list"/>
    <w:basedOn w:val="TOC1"/>
    <w:link w:val="PHEContentslistChar"/>
    <w:qFormat/>
    <w:rsid w:val="00D9051A"/>
    <w:pPr>
      <w:tabs>
        <w:tab w:val="right" w:leader="dot" w:pos="10082"/>
      </w:tabs>
    </w:pPr>
  </w:style>
  <w:style w:type="character" w:customStyle="1" w:styleId="PHEContentslistChar">
    <w:name w:val="PHE Contents list Char"/>
    <w:link w:val="PHEContentslist"/>
    <w:rsid w:val="00D9051A"/>
    <w:rPr>
      <w:rFonts w:ascii="Arial" w:hAnsi="Arial" w:cs="Arial"/>
      <w:noProof/>
      <w:sz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213E3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rsid w:val="00213E3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E39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13E39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52369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  <w:style w:type="paragraph" w:customStyle="1" w:styleId="PHEBulletpointsfornumberedtext">
    <w:name w:val="PHE Bullet points for numbered text"/>
    <w:basedOn w:val="PHEBulletpoints"/>
    <w:link w:val="PHEBulletpointsfornumberedtextChar"/>
    <w:qFormat/>
    <w:rsid w:val="00EE159D"/>
    <w:pPr>
      <w:tabs>
        <w:tab w:val="left" w:pos="851"/>
      </w:tabs>
      <w:ind w:left="851" w:hanging="284"/>
    </w:pPr>
  </w:style>
  <w:style w:type="character" w:customStyle="1" w:styleId="PHEBulletpointsChar">
    <w:name w:val="PHE Bullet points Char"/>
    <w:link w:val="PHEBulletpoints"/>
    <w:rsid w:val="00EE159D"/>
    <w:rPr>
      <w:rFonts w:ascii="Arial" w:hAnsi="Arial"/>
      <w:sz w:val="24"/>
      <w:szCs w:val="24"/>
      <w:lang w:eastAsia="en-US"/>
    </w:rPr>
  </w:style>
  <w:style w:type="character" w:customStyle="1" w:styleId="PHEBulletpointsfornumberedtextChar">
    <w:name w:val="PHE Bullet points for numbered text Char"/>
    <w:link w:val="PHEBulletpointsfornumberedtext"/>
    <w:rsid w:val="00EE159D"/>
    <w:rPr>
      <w:rFonts w:ascii="Arial" w:hAnsi="Arial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1E11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1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13"/>
    <w:rPr>
      <w:rFonts w:ascii="Arial" w:hAnsi="Arial" w:cs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6696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250E27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266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6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640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6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640"/>
    <w:rPr>
      <w:rFonts w:ascii="Arial" w:hAnsi="Arial" w:cs="Arial"/>
      <w:b/>
      <w:bCs/>
      <w:lang w:eastAsia="en-US"/>
    </w:rPr>
  </w:style>
  <w:style w:type="paragraph" w:styleId="NoSpacing">
    <w:name w:val="No Spacing"/>
    <w:uiPriority w:val="1"/>
    <w:qFormat/>
    <w:rsid w:val="00D65029"/>
    <w:rPr>
      <w:rFonts w:ascii="Arial" w:hAnsi="Arial" w:cs="Arial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3C4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3C47"/>
    <w:rPr>
      <w:rFonts w:ascii="Arial" w:hAnsi="Arial" w:cs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43C47"/>
    <w:rPr>
      <w:vertAlign w:val="superscript"/>
    </w:rPr>
  </w:style>
  <w:style w:type="paragraph" w:styleId="Revision">
    <w:name w:val="Revision"/>
    <w:hidden/>
    <w:uiPriority w:val="99"/>
    <w:semiHidden/>
    <w:rsid w:val="00E66957"/>
    <w:rPr>
      <w:rFonts w:ascii="Arial" w:hAnsi="Arial" w:cs="Arial"/>
      <w:sz w:val="24"/>
      <w:lang w:eastAsia="en-US"/>
    </w:rPr>
  </w:style>
  <w:style w:type="paragraph" w:customStyle="1" w:styleId="Style1">
    <w:name w:val="Style1"/>
    <w:basedOn w:val="Heading1"/>
    <w:qFormat/>
    <w:rsid w:val="00C215E9"/>
    <w:pPr>
      <w:numPr>
        <w:numId w:val="5"/>
      </w:numPr>
    </w:pPr>
    <w:rPr>
      <w:b w:val="0"/>
    </w:rPr>
  </w:style>
  <w:style w:type="paragraph" w:customStyle="1" w:styleId="Style2">
    <w:name w:val="Style2"/>
    <w:basedOn w:val="Heading2"/>
    <w:qFormat/>
    <w:rsid w:val="00C215E9"/>
    <w:rPr>
      <w:rFonts w:ascii="Arial" w:hAnsi="Arial"/>
      <w:b w:val="0"/>
      <w:i w:val="0"/>
      <w:color w:val="98002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12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680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5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8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1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chart" Target="charts/chart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chart" Target="charts/chart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ronavirus.data.gov.uk/abou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chart" Target="charts/chart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ssets.publishing.service.gov.uk/government/uploads/system/uploads/attachment_data/file/739854/PHE_Laboratory_Reporting_Guidelines.pdf" TargetMode="External"/><Relationship Id="rId2" Type="http://schemas.openxmlformats.org/officeDocument/2006/relationships/hyperlink" Target="https://digital.nhs.uk/services/national-back-office-for-the-personal-demographics-service/demographics-batch-service-bureau" TargetMode="External"/><Relationship Id="rId1" Type="http://schemas.openxmlformats.org/officeDocument/2006/relationships/hyperlink" Target="https://assets.publishing.service.gov.uk/government/uploads/system/uploads/attachment_data/file/739854/PHE_Laboratory_Reporting_Guidelines.pdf" TargetMode="External"/><Relationship Id="rId4" Type="http://schemas.openxmlformats.org/officeDocument/2006/relationships/hyperlink" Target="https://digital.nhs.uk/services/national-back-office-for-the-personal-demographics-service/demographics-batch-service-bure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olhpafil004.hpa.org.uk\Colindale_Data\NISICC\WNCoV%20Epi%20Cell\07-Line%20list\DEATHS\Outputs%20from%20deaths%20data\briefingpaperforphedeathreporting\dod_datasource%20graph%202020042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colhpafil004.hpa.org.uk\Colindale_Data\NISICC\WNCoV%20Epi%20Cell\07-Line%20list\DEATHS\Outputs%20from%20deaths%20data\briefingpaperforphedeathreporting\dod_datasource%20graph%202020042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FILECOL19\Colindale_Data\NISICC\WNCoV%20Epi%20Cell\07-Line%20list\DEATHS\Outputs%20from%20deaths%20data\briefingpaperforphedeathreporting\dod_datasource%20graph%2020200429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636814515252995E-2"/>
          <c:y val="2.7429562705986378E-2"/>
          <c:w val="0.89968528766383504"/>
          <c:h val="0.7928535889535546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'[dod_datasource graph 20200429.xlsx]date of death'!$B$3</c:f>
              <c:strCache>
                <c:ptCount val="1"/>
                <c:pt idx="0">
                  <c:v>NHS England (hospital only) data series</c:v>
                </c:pt>
              </c:strCache>
            </c:strRef>
          </c:tx>
          <c:spPr>
            <a:solidFill>
              <a:srgbClr val="00B092"/>
            </a:solidFill>
            <a:ln>
              <a:noFill/>
            </a:ln>
            <a:effectLst/>
          </c:spPr>
          <c:invertIfNegative val="0"/>
          <c:cat>
            <c:numRef>
              <c:f>'[dod_datasource graph 20200429.xlsx]date of death'!$A$4:$A$61</c:f>
              <c:numCache>
                <c:formatCode>d\-mmm\-yy</c:formatCode>
                <c:ptCount val="58"/>
                <c:pt idx="0">
                  <c:v>43892</c:v>
                </c:pt>
                <c:pt idx="1">
                  <c:v>43893</c:v>
                </c:pt>
                <c:pt idx="2">
                  <c:v>43894</c:v>
                </c:pt>
                <c:pt idx="3">
                  <c:v>43895</c:v>
                </c:pt>
                <c:pt idx="4">
                  <c:v>43896</c:v>
                </c:pt>
                <c:pt idx="5">
                  <c:v>43897</c:v>
                </c:pt>
                <c:pt idx="6">
                  <c:v>43898</c:v>
                </c:pt>
                <c:pt idx="7">
                  <c:v>43899</c:v>
                </c:pt>
                <c:pt idx="8">
                  <c:v>43900</c:v>
                </c:pt>
                <c:pt idx="9">
                  <c:v>43901</c:v>
                </c:pt>
                <c:pt idx="10">
                  <c:v>43902</c:v>
                </c:pt>
                <c:pt idx="11">
                  <c:v>43903</c:v>
                </c:pt>
                <c:pt idx="12">
                  <c:v>43904</c:v>
                </c:pt>
                <c:pt idx="13">
                  <c:v>43905</c:v>
                </c:pt>
                <c:pt idx="14">
                  <c:v>43906</c:v>
                </c:pt>
                <c:pt idx="15">
                  <c:v>43907</c:v>
                </c:pt>
                <c:pt idx="16">
                  <c:v>43908</c:v>
                </c:pt>
                <c:pt idx="17">
                  <c:v>43909</c:v>
                </c:pt>
                <c:pt idx="18">
                  <c:v>43910</c:v>
                </c:pt>
                <c:pt idx="19">
                  <c:v>43911</c:v>
                </c:pt>
                <c:pt idx="20">
                  <c:v>43912</c:v>
                </c:pt>
                <c:pt idx="21">
                  <c:v>43913</c:v>
                </c:pt>
                <c:pt idx="22">
                  <c:v>43914</c:v>
                </c:pt>
                <c:pt idx="23">
                  <c:v>43915</c:v>
                </c:pt>
                <c:pt idx="24">
                  <c:v>43916</c:v>
                </c:pt>
                <c:pt idx="25">
                  <c:v>43917</c:v>
                </c:pt>
                <c:pt idx="26">
                  <c:v>43918</c:v>
                </c:pt>
                <c:pt idx="27">
                  <c:v>43919</c:v>
                </c:pt>
                <c:pt idx="28">
                  <c:v>43920</c:v>
                </c:pt>
                <c:pt idx="29">
                  <c:v>43921</c:v>
                </c:pt>
                <c:pt idx="30">
                  <c:v>43922</c:v>
                </c:pt>
                <c:pt idx="31">
                  <c:v>43923</c:v>
                </c:pt>
                <c:pt idx="32">
                  <c:v>43924</c:v>
                </c:pt>
                <c:pt idx="33">
                  <c:v>43925</c:v>
                </c:pt>
                <c:pt idx="34">
                  <c:v>43926</c:v>
                </c:pt>
                <c:pt idx="35">
                  <c:v>43927</c:v>
                </c:pt>
                <c:pt idx="36">
                  <c:v>43928</c:v>
                </c:pt>
                <c:pt idx="37">
                  <c:v>43929</c:v>
                </c:pt>
                <c:pt idx="38">
                  <c:v>43930</c:v>
                </c:pt>
                <c:pt idx="39">
                  <c:v>43931</c:v>
                </c:pt>
                <c:pt idx="40">
                  <c:v>43932</c:v>
                </c:pt>
                <c:pt idx="41">
                  <c:v>43933</c:v>
                </c:pt>
                <c:pt idx="42">
                  <c:v>43934</c:v>
                </c:pt>
                <c:pt idx="43">
                  <c:v>43935</c:v>
                </c:pt>
                <c:pt idx="44">
                  <c:v>43936</c:v>
                </c:pt>
                <c:pt idx="45">
                  <c:v>43937</c:v>
                </c:pt>
                <c:pt idx="46">
                  <c:v>43938</c:v>
                </c:pt>
                <c:pt idx="47">
                  <c:v>43939</c:v>
                </c:pt>
                <c:pt idx="48">
                  <c:v>43940</c:v>
                </c:pt>
                <c:pt idx="49">
                  <c:v>43941</c:v>
                </c:pt>
                <c:pt idx="50">
                  <c:v>43942</c:v>
                </c:pt>
                <c:pt idx="51">
                  <c:v>43943</c:v>
                </c:pt>
                <c:pt idx="52">
                  <c:v>43944</c:v>
                </c:pt>
                <c:pt idx="53">
                  <c:v>43945</c:v>
                </c:pt>
                <c:pt idx="54">
                  <c:v>43946</c:v>
                </c:pt>
                <c:pt idx="55">
                  <c:v>43947</c:v>
                </c:pt>
                <c:pt idx="56">
                  <c:v>43948</c:v>
                </c:pt>
                <c:pt idx="57">
                  <c:v>43949</c:v>
                </c:pt>
              </c:numCache>
            </c:numRef>
          </c:cat>
          <c:val>
            <c:numRef>
              <c:f>'[dod_datasource graph 20200429.xlsx]date of death'!$B$4:$B$61</c:f>
              <c:numCache>
                <c:formatCode>General</c:formatCode>
                <c:ptCount val="58"/>
                <c:pt idx="0">
                  <c:v>1</c:v>
                </c:pt>
                <c:pt idx="1">
                  <c:v>2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5</c:v>
                </c:pt>
                <c:pt idx="7">
                  <c:v>3</c:v>
                </c:pt>
                <c:pt idx="8">
                  <c:v>1</c:v>
                </c:pt>
                <c:pt idx="9">
                  <c:v>4</c:v>
                </c:pt>
                <c:pt idx="10">
                  <c:v>9</c:v>
                </c:pt>
                <c:pt idx="11">
                  <c:v>13</c:v>
                </c:pt>
                <c:pt idx="12">
                  <c:v>18</c:v>
                </c:pt>
                <c:pt idx="13">
                  <c:v>30</c:v>
                </c:pt>
                <c:pt idx="14">
                  <c:v>38</c:v>
                </c:pt>
                <c:pt idx="15">
                  <c:v>43</c:v>
                </c:pt>
                <c:pt idx="16">
                  <c:v>63</c:v>
                </c:pt>
                <c:pt idx="17">
                  <c:v>56</c:v>
                </c:pt>
                <c:pt idx="18">
                  <c:v>100</c:v>
                </c:pt>
                <c:pt idx="19">
                  <c:v>100</c:v>
                </c:pt>
                <c:pt idx="20">
                  <c:v>140</c:v>
                </c:pt>
                <c:pt idx="21">
                  <c:v>142</c:v>
                </c:pt>
                <c:pt idx="22">
                  <c:v>182</c:v>
                </c:pt>
                <c:pt idx="23">
                  <c:v>239</c:v>
                </c:pt>
                <c:pt idx="24">
                  <c:v>316</c:v>
                </c:pt>
                <c:pt idx="25">
                  <c:v>346</c:v>
                </c:pt>
                <c:pt idx="26">
                  <c:v>356</c:v>
                </c:pt>
                <c:pt idx="27">
                  <c:v>594</c:v>
                </c:pt>
                <c:pt idx="28">
                  <c:v>598</c:v>
                </c:pt>
                <c:pt idx="29">
                  <c:v>349</c:v>
                </c:pt>
                <c:pt idx="30">
                  <c:v>602</c:v>
                </c:pt>
                <c:pt idx="31">
                  <c:v>612</c:v>
                </c:pt>
                <c:pt idx="32">
                  <c:v>656</c:v>
                </c:pt>
                <c:pt idx="33">
                  <c:v>739</c:v>
                </c:pt>
                <c:pt idx="34">
                  <c:v>717</c:v>
                </c:pt>
                <c:pt idx="35">
                  <c:v>707</c:v>
                </c:pt>
                <c:pt idx="36">
                  <c:v>780</c:v>
                </c:pt>
                <c:pt idx="37">
                  <c:v>861</c:v>
                </c:pt>
                <c:pt idx="38">
                  <c:v>740</c:v>
                </c:pt>
                <c:pt idx="39">
                  <c:v>702</c:v>
                </c:pt>
                <c:pt idx="40">
                  <c:v>731</c:v>
                </c:pt>
                <c:pt idx="41">
                  <c:v>680</c:v>
                </c:pt>
                <c:pt idx="42">
                  <c:v>647</c:v>
                </c:pt>
                <c:pt idx="43">
                  <c:v>611</c:v>
                </c:pt>
                <c:pt idx="44">
                  <c:v>644</c:v>
                </c:pt>
                <c:pt idx="45">
                  <c:v>607</c:v>
                </c:pt>
                <c:pt idx="46">
                  <c:v>562</c:v>
                </c:pt>
                <c:pt idx="47">
                  <c:v>548</c:v>
                </c:pt>
                <c:pt idx="48">
                  <c:v>500</c:v>
                </c:pt>
                <c:pt idx="49">
                  <c:v>530</c:v>
                </c:pt>
                <c:pt idx="50">
                  <c:v>445</c:v>
                </c:pt>
                <c:pt idx="51">
                  <c:v>454</c:v>
                </c:pt>
                <c:pt idx="52">
                  <c:v>419</c:v>
                </c:pt>
                <c:pt idx="53">
                  <c:v>400</c:v>
                </c:pt>
                <c:pt idx="54">
                  <c:v>336</c:v>
                </c:pt>
                <c:pt idx="55">
                  <c:v>312</c:v>
                </c:pt>
                <c:pt idx="56">
                  <c:v>241</c:v>
                </c:pt>
                <c:pt idx="57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55-49AA-AE0E-4EE464792E44}"/>
            </c:ext>
          </c:extLst>
        </c:ser>
        <c:ser>
          <c:idx val="3"/>
          <c:order val="1"/>
          <c:tx>
            <c:strRef>
              <c:f>'[dod_datasource graph 20200429.xlsx]date of death'!$C$3</c:f>
              <c:strCache>
                <c:ptCount val="1"/>
                <c:pt idx="0">
                  <c:v>Additional deaths in PHE data series</c:v>
                </c:pt>
              </c:strCache>
            </c:strRef>
          </c:tx>
          <c:spPr>
            <a:solidFill>
              <a:srgbClr val="822433"/>
            </a:solidFill>
            <a:ln>
              <a:noFill/>
            </a:ln>
            <a:effectLst/>
          </c:spPr>
          <c:invertIfNegative val="0"/>
          <c:val>
            <c:numRef>
              <c:f>'[dod_datasource graph 20200429.xlsx]date of death'!$C$4:$C$61</c:f>
              <c:numCache>
                <c:formatCode>0</c:formatCode>
                <c:ptCount val="58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6">
                  <c:v>0</c:v>
                </c:pt>
                <c:pt idx="7" formatCode="General">
                  <c:v>1</c:v>
                </c:pt>
                <c:pt idx="8">
                  <c:v>0</c:v>
                </c:pt>
                <c:pt idx="9" formatCode="General">
                  <c:v>4</c:v>
                </c:pt>
                <c:pt idx="10" formatCode="General">
                  <c:v>3</c:v>
                </c:pt>
                <c:pt idx="11" formatCode="General">
                  <c:v>3</c:v>
                </c:pt>
                <c:pt idx="12" formatCode="General">
                  <c:v>3</c:v>
                </c:pt>
                <c:pt idx="13" formatCode="General">
                  <c:v>5</c:v>
                </c:pt>
                <c:pt idx="14" formatCode="General">
                  <c:v>3</c:v>
                </c:pt>
                <c:pt idx="15" formatCode="General">
                  <c:v>8</c:v>
                </c:pt>
                <c:pt idx="16" formatCode="General">
                  <c:v>8</c:v>
                </c:pt>
                <c:pt idx="17" formatCode="General">
                  <c:v>8</c:v>
                </c:pt>
                <c:pt idx="18" formatCode="General">
                  <c:v>10</c:v>
                </c:pt>
                <c:pt idx="19" formatCode="General">
                  <c:v>7</c:v>
                </c:pt>
                <c:pt idx="20" formatCode="General">
                  <c:v>19</c:v>
                </c:pt>
                <c:pt idx="21" formatCode="General">
                  <c:v>23</c:v>
                </c:pt>
                <c:pt idx="22" formatCode="General">
                  <c:v>33</c:v>
                </c:pt>
                <c:pt idx="23" formatCode="General">
                  <c:v>39</c:v>
                </c:pt>
                <c:pt idx="24" formatCode="General">
                  <c:v>21</c:v>
                </c:pt>
                <c:pt idx="25" formatCode="General">
                  <c:v>33</c:v>
                </c:pt>
                <c:pt idx="26" formatCode="General">
                  <c:v>27</c:v>
                </c:pt>
                <c:pt idx="27" formatCode="General">
                  <c:v>45</c:v>
                </c:pt>
                <c:pt idx="28" formatCode="General">
                  <c:v>48</c:v>
                </c:pt>
                <c:pt idx="29" formatCode="General">
                  <c:v>41</c:v>
                </c:pt>
                <c:pt idx="30" formatCode="General">
                  <c:v>74</c:v>
                </c:pt>
                <c:pt idx="31" formatCode="General">
                  <c:v>70</c:v>
                </c:pt>
                <c:pt idx="32" formatCode="General">
                  <c:v>72</c:v>
                </c:pt>
                <c:pt idx="33" formatCode="General">
                  <c:v>96</c:v>
                </c:pt>
                <c:pt idx="34" formatCode="General">
                  <c:v>92</c:v>
                </c:pt>
                <c:pt idx="35" formatCode="General">
                  <c:v>94</c:v>
                </c:pt>
                <c:pt idx="36" formatCode="General">
                  <c:v>128</c:v>
                </c:pt>
                <c:pt idx="37" formatCode="General">
                  <c:v>109</c:v>
                </c:pt>
                <c:pt idx="38" formatCode="General">
                  <c:v>121</c:v>
                </c:pt>
                <c:pt idx="39" formatCode="General">
                  <c:v>145</c:v>
                </c:pt>
                <c:pt idx="40" formatCode="General">
                  <c:v>134</c:v>
                </c:pt>
                <c:pt idx="41" formatCode="General">
                  <c:v>159</c:v>
                </c:pt>
                <c:pt idx="42" formatCode="General">
                  <c:v>148</c:v>
                </c:pt>
                <c:pt idx="43" formatCode="General">
                  <c:v>156</c:v>
                </c:pt>
                <c:pt idx="44" formatCode="General">
                  <c:v>131</c:v>
                </c:pt>
                <c:pt idx="45" formatCode="General">
                  <c:v>127</c:v>
                </c:pt>
                <c:pt idx="46" formatCode="General">
                  <c:v>162</c:v>
                </c:pt>
                <c:pt idx="47" formatCode="General">
                  <c:v>143</c:v>
                </c:pt>
                <c:pt idx="48" formatCode="General">
                  <c:v>163</c:v>
                </c:pt>
                <c:pt idx="49" formatCode="General">
                  <c:v>144</c:v>
                </c:pt>
                <c:pt idx="50" formatCode="General">
                  <c:v>166</c:v>
                </c:pt>
                <c:pt idx="51" formatCode="General">
                  <c:v>159</c:v>
                </c:pt>
                <c:pt idx="52" formatCode="General">
                  <c:v>145</c:v>
                </c:pt>
                <c:pt idx="53" formatCode="General">
                  <c:v>146</c:v>
                </c:pt>
                <c:pt idx="54" formatCode="General">
                  <c:v>128</c:v>
                </c:pt>
                <c:pt idx="55" formatCode="General">
                  <c:v>112</c:v>
                </c:pt>
                <c:pt idx="56" formatCode="General">
                  <c:v>136</c:v>
                </c:pt>
                <c:pt idx="57" formatCode="General">
                  <c:v>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55-49AA-AE0E-4EE464792E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3"/>
        <c:overlap val="100"/>
        <c:axId val="335239488"/>
        <c:axId val="335235552"/>
      </c:barChart>
      <c:dateAx>
        <c:axId val="3352394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Date of death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d\-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35235552"/>
        <c:crosses val="autoZero"/>
        <c:auto val="1"/>
        <c:lblOffset val="100"/>
        <c:baseTimeUnit val="days"/>
        <c:majorUnit val="3"/>
        <c:majorTimeUnit val="days"/>
      </c:dateAx>
      <c:valAx>
        <c:axId val="33523555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Number of deaths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35239488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t"/>
      <c:layout>
        <c:manualLayout>
          <c:xMode val="edge"/>
          <c:yMode val="edge"/>
          <c:x val="0.13377291673779249"/>
          <c:y val="7.4572478242167242E-2"/>
          <c:w val="0.41214078876719046"/>
          <c:h val="9.896282357344381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5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6947228265761229E-2"/>
          <c:y val="8.3169888467082356E-2"/>
          <c:w val="0.8879847547633607"/>
          <c:h val="0.7369003311885049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'[dod_datasource graph 20200429.xlsx]date of death'!$H$3</c:f>
              <c:strCache>
                <c:ptCount val="1"/>
                <c:pt idx="0">
                  <c:v>NHS England (hospital only) data series</c:v>
                </c:pt>
              </c:strCache>
            </c:strRef>
          </c:tx>
          <c:spPr>
            <a:solidFill>
              <a:srgbClr val="00B092"/>
            </a:solidFill>
            <a:ln>
              <a:noFill/>
            </a:ln>
            <a:effectLst/>
          </c:spPr>
          <c:invertIfNegative val="0"/>
          <c:cat>
            <c:numRef>
              <c:f>'[dod_datasource graph 20200429.xlsx]date of death'!$A$4:$A$61</c:f>
              <c:numCache>
                <c:formatCode>d\-mmm\-yy</c:formatCode>
                <c:ptCount val="58"/>
                <c:pt idx="0">
                  <c:v>43892</c:v>
                </c:pt>
                <c:pt idx="1">
                  <c:v>43893</c:v>
                </c:pt>
                <c:pt idx="2">
                  <c:v>43894</c:v>
                </c:pt>
                <c:pt idx="3">
                  <c:v>43895</c:v>
                </c:pt>
                <c:pt idx="4">
                  <c:v>43896</c:v>
                </c:pt>
                <c:pt idx="5">
                  <c:v>43897</c:v>
                </c:pt>
                <c:pt idx="6">
                  <c:v>43898</c:v>
                </c:pt>
                <c:pt idx="7">
                  <c:v>43899</c:v>
                </c:pt>
                <c:pt idx="8">
                  <c:v>43900</c:v>
                </c:pt>
                <c:pt idx="9">
                  <c:v>43901</c:v>
                </c:pt>
                <c:pt idx="10">
                  <c:v>43902</c:v>
                </c:pt>
                <c:pt idx="11">
                  <c:v>43903</c:v>
                </c:pt>
                <c:pt idx="12">
                  <c:v>43904</c:v>
                </c:pt>
                <c:pt idx="13">
                  <c:v>43905</c:v>
                </c:pt>
                <c:pt idx="14">
                  <c:v>43906</c:v>
                </c:pt>
                <c:pt idx="15">
                  <c:v>43907</c:v>
                </c:pt>
                <c:pt idx="16">
                  <c:v>43908</c:v>
                </c:pt>
                <c:pt idx="17">
                  <c:v>43909</c:v>
                </c:pt>
                <c:pt idx="18">
                  <c:v>43910</c:v>
                </c:pt>
                <c:pt idx="19">
                  <c:v>43911</c:v>
                </c:pt>
                <c:pt idx="20">
                  <c:v>43912</c:v>
                </c:pt>
                <c:pt idx="21">
                  <c:v>43913</c:v>
                </c:pt>
                <c:pt idx="22">
                  <c:v>43914</c:v>
                </c:pt>
                <c:pt idx="23">
                  <c:v>43915</c:v>
                </c:pt>
                <c:pt idx="24">
                  <c:v>43916</c:v>
                </c:pt>
                <c:pt idx="25">
                  <c:v>43917</c:v>
                </c:pt>
                <c:pt idx="26">
                  <c:v>43918</c:v>
                </c:pt>
                <c:pt idx="27">
                  <c:v>43919</c:v>
                </c:pt>
                <c:pt idx="28">
                  <c:v>43920</c:v>
                </c:pt>
                <c:pt idx="29">
                  <c:v>43921</c:v>
                </c:pt>
                <c:pt idx="30">
                  <c:v>43922</c:v>
                </c:pt>
                <c:pt idx="31">
                  <c:v>43923</c:v>
                </c:pt>
                <c:pt idx="32">
                  <c:v>43924</c:v>
                </c:pt>
                <c:pt idx="33">
                  <c:v>43925</c:v>
                </c:pt>
                <c:pt idx="34">
                  <c:v>43926</c:v>
                </c:pt>
                <c:pt idx="35">
                  <c:v>43927</c:v>
                </c:pt>
                <c:pt idx="36">
                  <c:v>43928</c:v>
                </c:pt>
                <c:pt idx="37">
                  <c:v>43929</c:v>
                </c:pt>
                <c:pt idx="38">
                  <c:v>43930</c:v>
                </c:pt>
                <c:pt idx="39">
                  <c:v>43931</c:v>
                </c:pt>
                <c:pt idx="40">
                  <c:v>43932</c:v>
                </c:pt>
                <c:pt idx="41">
                  <c:v>43933</c:v>
                </c:pt>
                <c:pt idx="42">
                  <c:v>43934</c:v>
                </c:pt>
                <c:pt idx="43">
                  <c:v>43935</c:v>
                </c:pt>
                <c:pt idx="44">
                  <c:v>43936</c:v>
                </c:pt>
                <c:pt idx="45">
                  <c:v>43937</c:v>
                </c:pt>
                <c:pt idx="46">
                  <c:v>43938</c:v>
                </c:pt>
                <c:pt idx="47">
                  <c:v>43939</c:v>
                </c:pt>
                <c:pt idx="48">
                  <c:v>43940</c:v>
                </c:pt>
                <c:pt idx="49">
                  <c:v>43941</c:v>
                </c:pt>
                <c:pt idx="50">
                  <c:v>43942</c:v>
                </c:pt>
                <c:pt idx="51">
                  <c:v>43943</c:v>
                </c:pt>
                <c:pt idx="52">
                  <c:v>43944</c:v>
                </c:pt>
                <c:pt idx="53">
                  <c:v>43945</c:v>
                </c:pt>
                <c:pt idx="54">
                  <c:v>43946</c:v>
                </c:pt>
                <c:pt idx="55">
                  <c:v>43947</c:v>
                </c:pt>
                <c:pt idx="56">
                  <c:v>43948</c:v>
                </c:pt>
                <c:pt idx="57">
                  <c:v>43949</c:v>
                </c:pt>
              </c:numCache>
            </c:numRef>
          </c:cat>
          <c:val>
            <c:numRef>
              <c:f>'[dod_datasource graph 20200429.xlsx]date of death'!$H$4:$H$61</c:f>
              <c:numCache>
                <c:formatCode>0</c:formatCode>
                <c:ptCount val="58"/>
                <c:pt idx="0">
                  <c:v>1</c:v>
                </c:pt>
                <c:pt idx="1">
                  <c:v>3</c:v>
                </c:pt>
                <c:pt idx="3">
                  <c:v>6</c:v>
                </c:pt>
                <c:pt idx="6">
                  <c:v>11</c:v>
                </c:pt>
                <c:pt idx="7">
                  <c:v>14</c:v>
                </c:pt>
                <c:pt idx="8">
                  <c:v>15</c:v>
                </c:pt>
                <c:pt idx="9">
                  <c:v>19</c:v>
                </c:pt>
                <c:pt idx="10">
                  <c:v>28</c:v>
                </c:pt>
                <c:pt idx="11">
                  <c:v>41</c:v>
                </c:pt>
                <c:pt idx="12">
                  <c:v>59</c:v>
                </c:pt>
                <c:pt idx="13">
                  <c:v>89</c:v>
                </c:pt>
                <c:pt idx="14">
                  <c:v>127</c:v>
                </c:pt>
                <c:pt idx="15">
                  <c:v>170</c:v>
                </c:pt>
                <c:pt idx="16">
                  <c:v>233</c:v>
                </c:pt>
                <c:pt idx="17">
                  <c:v>289</c:v>
                </c:pt>
                <c:pt idx="18">
                  <c:v>389</c:v>
                </c:pt>
                <c:pt idx="19">
                  <c:v>489</c:v>
                </c:pt>
                <c:pt idx="20">
                  <c:v>629</c:v>
                </c:pt>
                <c:pt idx="21">
                  <c:v>771</c:v>
                </c:pt>
                <c:pt idx="22">
                  <c:v>953</c:v>
                </c:pt>
                <c:pt idx="23">
                  <c:v>1192</c:v>
                </c:pt>
                <c:pt idx="24">
                  <c:v>1508</c:v>
                </c:pt>
                <c:pt idx="25">
                  <c:v>1854</c:v>
                </c:pt>
                <c:pt idx="26">
                  <c:v>2210</c:v>
                </c:pt>
                <c:pt idx="27">
                  <c:v>2804</c:v>
                </c:pt>
                <c:pt idx="28">
                  <c:v>3402</c:v>
                </c:pt>
                <c:pt idx="29">
                  <c:v>3751</c:v>
                </c:pt>
                <c:pt idx="30">
                  <c:v>4353</c:v>
                </c:pt>
                <c:pt idx="31">
                  <c:v>4965</c:v>
                </c:pt>
                <c:pt idx="32">
                  <c:v>5621</c:v>
                </c:pt>
                <c:pt idx="33">
                  <c:v>6360</c:v>
                </c:pt>
                <c:pt idx="34">
                  <c:v>7077</c:v>
                </c:pt>
                <c:pt idx="35">
                  <c:v>7784</c:v>
                </c:pt>
                <c:pt idx="36">
                  <c:v>8564</c:v>
                </c:pt>
                <c:pt idx="37">
                  <c:v>9425</c:v>
                </c:pt>
                <c:pt idx="38">
                  <c:v>10165</c:v>
                </c:pt>
                <c:pt idx="39">
                  <c:v>10867</c:v>
                </c:pt>
                <c:pt idx="40">
                  <c:v>11598</c:v>
                </c:pt>
                <c:pt idx="41">
                  <c:v>12278</c:v>
                </c:pt>
                <c:pt idx="42">
                  <c:v>12925</c:v>
                </c:pt>
                <c:pt idx="43">
                  <c:v>13536</c:v>
                </c:pt>
                <c:pt idx="44">
                  <c:v>14180</c:v>
                </c:pt>
                <c:pt idx="45">
                  <c:v>14787</c:v>
                </c:pt>
                <c:pt idx="46">
                  <c:v>15349</c:v>
                </c:pt>
                <c:pt idx="47">
                  <c:v>15897</c:v>
                </c:pt>
                <c:pt idx="48">
                  <c:v>16397</c:v>
                </c:pt>
                <c:pt idx="49">
                  <c:v>16927</c:v>
                </c:pt>
                <c:pt idx="50">
                  <c:v>17372</c:v>
                </c:pt>
                <c:pt idx="51">
                  <c:v>17826</c:v>
                </c:pt>
                <c:pt idx="52">
                  <c:v>18245</c:v>
                </c:pt>
                <c:pt idx="53">
                  <c:v>18645</c:v>
                </c:pt>
                <c:pt idx="54">
                  <c:v>18981</c:v>
                </c:pt>
                <c:pt idx="55">
                  <c:v>19293</c:v>
                </c:pt>
                <c:pt idx="56">
                  <c:v>19534</c:v>
                </c:pt>
                <c:pt idx="57">
                  <c:v>19630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17-4166-977E-E4EBACD04349}"/>
            </c:ext>
          </c:extLst>
        </c:ser>
        <c:ser>
          <c:idx val="2"/>
          <c:order val="1"/>
          <c:tx>
            <c:strRef>
              <c:f>'[dod_datasource graph 20200429.xlsx]date of death'!$I$3</c:f>
              <c:strCache>
                <c:ptCount val="1"/>
                <c:pt idx="0">
                  <c:v>Additional deaths in PHE data series</c:v>
                </c:pt>
              </c:strCache>
            </c:strRef>
          </c:tx>
          <c:spPr>
            <a:solidFill>
              <a:srgbClr val="822433"/>
            </a:solidFill>
            <a:ln>
              <a:noFill/>
            </a:ln>
            <a:effectLst/>
          </c:spPr>
          <c:invertIfNegative val="0"/>
          <c:cat>
            <c:numRef>
              <c:f>'[dod_datasource graph 20200429.xlsx]date of death'!$A$4:$A$61</c:f>
              <c:numCache>
                <c:formatCode>d\-mmm\-yy</c:formatCode>
                <c:ptCount val="58"/>
                <c:pt idx="0">
                  <c:v>43892</c:v>
                </c:pt>
                <c:pt idx="1">
                  <c:v>43893</c:v>
                </c:pt>
                <c:pt idx="2">
                  <c:v>43894</c:v>
                </c:pt>
                <c:pt idx="3">
                  <c:v>43895</c:v>
                </c:pt>
                <c:pt idx="4">
                  <c:v>43896</c:v>
                </c:pt>
                <c:pt idx="5">
                  <c:v>43897</c:v>
                </c:pt>
                <c:pt idx="6">
                  <c:v>43898</c:v>
                </c:pt>
                <c:pt idx="7">
                  <c:v>43899</c:v>
                </c:pt>
                <c:pt idx="8">
                  <c:v>43900</c:v>
                </c:pt>
                <c:pt idx="9">
                  <c:v>43901</c:v>
                </c:pt>
                <c:pt idx="10">
                  <c:v>43902</c:v>
                </c:pt>
                <c:pt idx="11">
                  <c:v>43903</c:v>
                </c:pt>
                <c:pt idx="12">
                  <c:v>43904</c:v>
                </c:pt>
                <c:pt idx="13">
                  <c:v>43905</c:v>
                </c:pt>
                <c:pt idx="14">
                  <c:v>43906</c:v>
                </c:pt>
                <c:pt idx="15">
                  <c:v>43907</c:v>
                </c:pt>
                <c:pt idx="16">
                  <c:v>43908</c:v>
                </c:pt>
                <c:pt idx="17">
                  <c:v>43909</c:v>
                </c:pt>
                <c:pt idx="18">
                  <c:v>43910</c:v>
                </c:pt>
                <c:pt idx="19">
                  <c:v>43911</c:v>
                </c:pt>
                <c:pt idx="20">
                  <c:v>43912</c:v>
                </c:pt>
                <c:pt idx="21">
                  <c:v>43913</c:v>
                </c:pt>
                <c:pt idx="22">
                  <c:v>43914</c:v>
                </c:pt>
                <c:pt idx="23">
                  <c:v>43915</c:v>
                </c:pt>
                <c:pt idx="24">
                  <c:v>43916</c:v>
                </c:pt>
                <c:pt idx="25">
                  <c:v>43917</c:v>
                </c:pt>
                <c:pt idx="26">
                  <c:v>43918</c:v>
                </c:pt>
                <c:pt idx="27">
                  <c:v>43919</c:v>
                </c:pt>
                <c:pt idx="28">
                  <c:v>43920</c:v>
                </c:pt>
                <c:pt idx="29">
                  <c:v>43921</c:v>
                </c:pt>
                <c:pt idx="30">
                  <c:v>43922</c:v>
                </c:pt>
                <c:pt idx="31">
                  <c:v>43923</c:v>
                </c:pt>
                <c:pt idx="32">
                  <c:v>43924</c:v>
                </c:pt>
                <c:pt idx="33">
                  <c:v>43925</c:v>
                </c:pt>
                <c:pt idx="34">
                  <c:v>43926</c:v>
                </c:pt>
                <c:pt idx="35">
                  <c:v>43927</c:v>
                </c:pt>
                <c:pt idx="36">
                  <c:v>43928</c:v>
                </c:pt>
                <c:pt idx="37">
                  <c:v>43929</c:v>
                </c:pt>
                <c:pt idx="38">
                  <c:v>43930</c:v>
                </c:pt>
                <c:pt idx="39">
                  <c:v>43931</c:v>
                </c:pt>
                <c:pt idx="40">
                  <c:v>43932</c:v>
                </c:pt>
                <c:pt idx="41">
                  <c:v>43933</c:v>
                </c:pt>
                <c:pt idx="42">
                  <c:v>43934</c:v>
                </c:pt>
                <c:pt idx="43">
                  <c:v>43935</c:v>
                </c:pt>
                <c:pt idx="44">
                  <c:v>43936</c:v>
                </c:pt>
                <c:pt idx="45">
                  <c:v>43937</c:v>
                </c:pt>
                <c:pt idx="46">
                  <c:v>43938</c:v>
                </c:pt>
                <c:pt idx="47">
                  <c:v>43939</c:v>
                </c:pt>
                <c:pt idx="48">
                  <c:v>43940</c:v>
                </c:pt>
                <c:pt idx="49">
                  <c:v>43941</c:v>
                </c:pt>
                <c:pt idx="50">
                  <c:v>43942</c:v>
                </c:pt>
                <c:pt idx="51">
                  <c:v>43943</c:v>
                </c:pt>
                <c:pt idx="52">
                  <c:v>43944</c:v>
                </c:pt>
                <c:pt idx="53">
                  <c:v>43945</c:v>
                </c:pt>
                <c:pt idx="54">
                  <c:v>43946</c:v>
                </c:pt>
                <c:pt idx="55">
                  <c:v>43947</c:v>
                </c:pt>
                <c:pt idx="56">
                  <c:v>43948</c:v>
                </c:pt>
                <c:pt idx="57">
                  <c:v>43949</c:v>
                </c:pt>
              </c:numCache>
            </c:numRef>
          </c:cat>
          <c:val>
            <c:numRef>
              <c:f>'[dod_datasource graph 20200429.xlsx]date of death'!$I$4:$I$61</c:f>
              <c:numCache>
                <c:formatCode>0</c:formatCode>
                <c:ptCount val="58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5</c:v>
                </c:pt>
                <c:pt idx="10">
                  <c:v>8</c:v>
                </c:pt>
                <c:pt idx="11">
                  <c:v>11</c:v>
                </c:pt>
                <c:pt idx="12">
                  <c:v>14</c:v>
                </c:pt>
                <c:pt idx="13">
                  <c:v>19</c:v>
                </c:pt>
                <c:pt idx="14">
                  <c:v>22</c:v>
                </c:pt>
                <c:pt idx="15">
                  <c:v>30</c:v>
                </c:pt>
                <c:pt idx="16">
                  <c:v>38</c:v>
                </c:pt>
                <c:pt idx="17">
                  <c:v>46</c:v>
                </c:pt>
                <c:pt idx="18">
                  <c:v>56</c:v>
                </c:pt>
                <c:pt idx="19">
                  <c:v>63</c:v>
                </c:pt>
                <c:pt idx="20">
                  <c:v>82</c:v>
                </c:pt>
                <c:pt idx="21">
                  <c:v>105</c:v>
                </c:pt>
                <c:pt idx="22">
                  <c:v>138</c:v>
                </c:pt>
                <c:pt idx="23">
                  <c:v>177</c:v>
                </c:pt>
                <c:pt idx="24">
                  <c:v>198</c:v>
                </c:pt>
                <c:pt idx="25">
                  <c:v>231</c:v>
                </c:pt>
                <c:pt idx="26">
                  <c:v>258</c:v>
                </c:pt>
                <c:pt idx="27">
                  <c:v>303</c:v>
                </c:pt>
                <c:pt idx="28">
                  <c:v>351</c:v>
                </c:pt>
                <c:pt idx="29">
                  <c:v>392</c:v>
                </c:pt>
                <c:pt idx="30">
                  <c:v>466</c:v>
                </c:pt>
                <c:pt idx="31">
                  <c:v>536</c:v>
                </c:pt>
                <c:pt idx="32">
                  <c:v>608</c:v>
                </c:pt>
                <c:pt idx="33">
                  <c:v>704</c:v>
                </c:pt>
                <c:pt idx="34">
                  <c:v>796</c:v>
                </c:pt>
                <c:pt idx="35">
                  <c:v>890</c:v>
                </c:pt>
                <c:pt idx="36">
                  <c:v>1018</c:v>
                </c:pt>
                <c:pt idx="37">
                  <c:v>1127</c:v>
                </c:pt>
                <c:pt idx="38">
                  <c:v>1248</c:v>
                </c:pt>
                <c:pt idx="39">
                  <c:v>1393</c:v>
                </c:pt>
                <c:pt idx="40">
                  <c:v>1527</c:v>
                </c:pt>
                <c:pt idx="41">
                  <c:v>1686</c:v>
                </c:pt>
                <c:pt idx="42">
                  <c:v>1834</c:v>
                </c:pt>
                <c:pt idx="43">
                  <c:v>1990</c:v>
                </c:pt>
                <c:pt idx="44">
                  <c:v>2121</c:v>
                </c:pt>
                <c:pt idx="45">
                  <c:v>2248</c:v>
                </c:pt>
                <c:pt idx="46">
                  <c:v>2410</c:v>
                </c:pt>
                <c:pt idx="47">
                  <c:v>2553</c:v>
                </c:pt>
                <c:pt idx="48">
                  <c:v>2716</c:v>
                </c:pt>
                <c:pt idx="49">
                  <c:v>2860</c:v>
                </c:pt>
                <c:pt idx="50">
                  <c:v>3026</c:v>
                </c:pt>
                <c:pt idx="51">
                  <c:v>3185</c:v>
                </c:pt>
                <c:pt idx="52">
                  <c:v>3330</c:v>
                </c:pt>
                <c:pt idx="53">
                  <c:v>3476</c:v>
                </c:pt>
                <c:pt idx="54">
                  <c:v>3604</c:v>
                </c:pt>
                <c:pt idx="55">
                  <c:v>3716</c:v>
                </c:pt>
                <c:pt idx="56">
                  <c:v>3852</c:v>
                </c:pt>
                <c:pt idx="57">
                  <c:v>3920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17-4166-977E-E4EBACD043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3"/>
        <c:overlap val="100"/>
        <c:axId val="335239488"/>
        <c:axId val="335235552"/>
      </c:barChart>
      <c:dateAx>
        <c:axId val="33523948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Date of death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d\-mmm\-yy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35235552"/>
        <c:crosses val="autoZero"/>
        <c:auto val="1"/>
        <c:lblOffset val="100"/>
        <c:baseTimeUnit val="days"/>
        <c:majorUnit val="3"/>
        <c:majorTimeUnit val="days"/>
      </c:dateAx>
      <c:valAx>
        <c:axId val="335235552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/>
                  <a:t>Cumulative number of deaths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50" b="0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335239488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t"/>
      <c:layout>
        <c:manualLayout>
          <c:xMode val="edge"/>
          <c:yMode val="edge"/>
          <c:x val="0.13158834786031909"/>
          <c:y val="5.6709174982678967E-2"/>
          <c:w val="0.40325311708144845"/>
          <c:h val="8.32463692807079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50">
          <a:solidFill>
            <a:sysClr val="windowText" lastClr="000000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0081564498958719"/>
          <c:y val="8.5232317381084902E-2"/>
          <c:w val="0.89838515948218334"/>
          <c:h val="0.79700694804097116"/>
        </c:manualLayout>
      </c:layout>
      <c:lineChart>
        <c:grouping val="standard"/>
        <c:varyColors val="0"/>
        <c:ser>
          <c:idx val="1"/>
          <c:order val="0"/>
          <c:tx>
            <c:strRef>
              <c:f>'ons compare'!$B$7</c:f>
              <c:strCache>
                <c:ptCount val="1"/>
                <c:pt idx="0">
                  <c:v>NHS England by date of death, as of 29 April</c:v>
                </c:pt>
              </c:strCache>
            </c:strRef>
          </c:tx>
          <c:spPr>
            <a:ln w="28575" cap="rnd">
              <a:solidFill>
                <a:srgbClr val="002776"/>
              </a:solidFill>
              <a:round/>
            </a:ln>
            <a:effectLst/>
          </c:spPr>
          <c:marker>
            <c:symbol val="none"/>
          </c:marker>
          <c:cat>
            <c:numRef>
              <c:f>'ons compare'!$A$8:$A$65</c:f>
              <c:numCache>
                <c:formatCode>d\-mmm</c:formatCode>
                <c:ptCount val="58"/>
                <c:pt idx="0">
                  <c:v>43892</c:v>
                </c:pt>
                <c:pt idx="1">
                  <c:v>43893</c:v>
                </c:pt>
                <c:pt idx="2">
                  <c:v>43894</c:v>
                </c:pt>
                <c:pt idx="3">
                  <c:v>43895</c:v>
                </c:pt>
                <c:pt idx="4">
                  <c:v>43896</c:v>
                </c:pt>
                <c:pt idx="5">
                  <c:v>43897</c:v>
                </c:pt>
                <c:pt idx="6">
                  <c:v>43898</c:v>
                </c:pt>
                <c:pt idx="7">
                  <c:v>43899</c:v>
                </c:pt>
                <c:pt idx="8">
                  <c:v>43900</c:v>
                </c:pt>
                <c:pt idx="9">
                  <c:v>43901</c:v>
                </c:pt>
                <c:pt idx="10">
                  <c:v>43902</c:v>
                </c:pt>
                <c:pt idx="11">
                  <c:v>43903</c:v>
                </c:pt>
                <c:pt idx="12">
                  <c:v>43904</c:v>
                </c:pt>
                <c:pt idx="13">
                  <c:v>43905</c:v>
                </c:pt>
                <c:pt idx="14">
                  <c:v>43906</c:v>
                </c:pt>
                <c:pt idx="15">
                  <c:v>43907</c:v>
                </c:pt>
                <c:pt idx="16">
                  <c:v>43908</c:v>
                </c:pt>
                <c:pt idx="17">
                  <c:v>43909</c:v>
                </c:pt>
                <c:pt idx="18">
                  <c:v>43910</c:v>
                </c:pt>
                <c:pt idx="19">
                  <c:v>43911</c:v>
                </c:pt>
                <c:pt idx="20">
                  <c:v>43912</c:v>
                </c:pt>
                <c:pt idx="21">
                  <c:v>43913</c:v>
                </c:pt>
                <c:pt idx="22">
                  <c:v>43914</c:v>
                </c:pt>
                <c:pt idx="23">
                  <c:v>43915</c:v>
                </c:pt>
                <c:pt idx="24">
                  <c:v>43916</c:v>
                </c:pt>
                <c:pt idx="25">
                  <c:v>43917</c:v>
                </c:pt>
                <c:pt idx="26">
                  <c:v>43918</c:v>
                </c:pt>
                <c:pt idx="27">
                  <c:v>43919</c:v>
                </c:pt>
                <c:pt idx="28">
                  <c:v>43920</c:v>
                </c:pt>
                <c:pt idx="29">
                  <c:v>43921</c:v>
                </c:pt>
                <c:pt idx="30">
                  <c:v>43922</c:v>
                </c:pt>
                <c:pt idx="31">
                  <c:v>43923</c:v>
                </c:pt>
                <c:pt idx="32">
                  <c:v>43924</c:v>
                </c:pt>
                <c:pt idx="33">
                  <c:v>43925</c:v>
                </c:pt>
                <c:pt idx="34">
                  <c:v>43926</c:v>
                </c:pt>
                <c:pt idx="35">
                  <c:v>43927</c:v>
                </c:pt>
                <c:pt idx="36">
                  <c:v>43928</c:v>
                </c:pt>
                <c:pt idx="37">
                  <c:v>43929</c:v>
                </c:pt>
                <c:pt idx="38">
                  <c:v>43930</c:v>
                </c:pt>
                <c:pt idx="39">
                  <c:v>43931</c:v>
                </c:pt>
                <c:pt idx="40">
                  <c:v>43932</c:v>
                </c:pt>
                <c:pt idx="41">
                  <c:v>43933</c:v>
                </c:pt>
                <c:pt idx="42">
                  <c:v>43934</c:v>
                </c:pt>
                <c:pt idx="43">
                  <c:v>43935</c:v>
                </c:pt>
                <c:pt idx="44">
                  <c:v>43936</c:v>
                </c:pt>
                <c:pt idx="45">
                  <c:v>43937</c:v>
                </c:pt>
                <c:pt idx="46">
                  <c:v>43938</c:v>
                </c:pt>
                <c:pt idx="47">
                  <c:v>43939</c:v>
                </c:pt>
                <c:pt idx="48">
                  <c:v>43940</c:v>
                </c:pt>
                <c:pt idx="49">
                  <c:v>43941</c:v>
                </c:pt>
                <c:pt idx="50">
                  <c:v>43942</c:v>
                </c:pt>
                <c:pt idx="51">
                  <c:v>43943</c:v>
                </c:pt>
                <c:pt idx="52">
                  <c:v>43944</c:v>
                </c:pt>
                <c:pt idx="53">
                  <c:v>43945</c:v>
                </c:pt>
                <c:pt idx="54">
                  <c:v>43946</c:v>
                </c:pt>
                <c:pt idx="55">
                  <c:v>43947</c:v>
                </c:pt>
                <c:pt idx="56">
                  <c:v>43948</c:v>
                </c:pt>
                <c:pt idx="57">
                  <c:v>43949</c:v>
                </c:pt>
              </c:numCache>
            </c:numRef>
          </c:cat>
          <c:val>
            <c:numRef>
              <c:f>'ons compare'!$B$8:$B$65</c:f>
              <c:numCache>
                <c:formatCode>0</c:formatCode>
                <c:ptCount val="58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6</c:v>
                </c:pt>
                <c:pt idx="4">
                  <c:v>0</c:v>
                </c:pt>
                <c:pt idx="5">
                  <c:v>0</c:v>
                </c:pt>
                <c:pt idx="6">
                  <c:v>11</c:v>
                </c:pt>
                <c:pt idx="7">
                  <c:v>14</c:v>
                </c:pt>
                <c:pt idx="8">
                  <c:v>15</c:v>
                </c:pt>
                <c:pt idx="9">
                  <c:v>19</c:v>
                </c:pt>
                <c:pt idx="10">
                  <c:v>28</c:v>
                </c:pt>
                <c:pt idx="11">
                  <c:v>41</c:v>
                </c:pt>
                <c:pt idx="12">
                  <c:v>59</c:v>
                </c:pt>
                <c:pt idx="13">
                  <c:v>89</c:v>
                </c:pt>
                <c:pt idx="14">
                  <c:v>127</c:v>
                </c:pt>
                <c:pt idx="15">
                  <c:v>170</c:v>
                </c:pt>
                <c:pt idx="16">
                  <c:v>233</c:v>
                </c:pt>
                <c:pt idx="17">
                  <c:v>289</c:v>
                </c:pt>
                <c:pt idx="18">
                  <c:v>389</c:v>
                </c:pt>
                <c:pt idx="19">
                  <c:v>489</c:v>
                </c:pt>
                <c:pt idx="20">
                  <c:v>629</c:v>
                </c:pt>
                <c:pt idx="21">
                  <c:v>771</c:v>
                </c:pt>
                <c:pt idx="22">
                  <c:v>953</c:v>
                </c:pt>
                <c:pt idx="23">
                  <c:v>1192</c:v>
                </c:pt>
                <c:pt idx="24">
                  <c:v>1508</c:v>
                </c:pt>
                <c:pt idx="25">
                  <c:v>1854</c:v>
                </c:pt>
                <c:pt idx="26">
                  <c:v>2210</c:v>
                </c:pt>
                <c:pt idx="27">
                  <c:v>2804</c:v>
                </c:pt>
                <c:pt idx="28">
                  <c:v>3402</c:v>
                </c:pt>
                <c:pt idx="29">
                  <c:v>3751</c:v>
                </c:pt>
                <c:pt idx="30">
                  <c:v>4353</c:v>
                </c:pt>
                <c:pt idx="31">
                  <c:v>4965</c:v>
                </c:pt>
                <c:pt idx="32">
                  <c:v>5621</c:v>
                </c:pt>
                <c:pt idx="33">
                  <c:v>6360</c:v>
                </c:pt>
                <c:pt idx="34">
                  <c:v>7077</c:v>
                </c:pt>
                <c:pt idx="35">
                  <c:v>7784</c:v>
                </c:pt>
                <c:pt idx="36">
                  <c:v>8564</c:v>
                </c:pt>
                <c:pt idx="37">
                  <c:v>9425</c:v>
                </c:pt>
                <c:pt idx="38">
                  <c:v>10165</c:v>
                </c:pt>
                <c:pt idx="39">
                  <c:v>10867</c:v>
                </c:pt>
                <c:pt idx="40">
                  <c:v>11598</c:v>
                </c:pt>
                <c:pt idx="41">
                  <c:v>12278</c:v>
                </c:pt>
                <c:pt idx="42">
                  <c:v>12925</c:v>
                </c:pt>
                <c:pt idx="43">
                  <c:v>13536</c:v>
                </c:pt>
                <c:pt idx="44">
                  <c:v>14180</c:v>
                </c:pt>
                <c:pt idx="45">
                  <c:v>14787</c:v>
                </c:pt>
                <c:pt idx="46">
                  <c:v>15349</c:v>
                </c:pt>
                <c:pt idx="47">
                  <c:v>15897</c:v>
                </c:pt>
                <c:pt idx="48">
                  <c:v>16397</c:v>
                </c:pt>
                <c:pt idx="49">
                  <c:v>16927</c:v>
                </c:pt>
                <c:pt idx="50">
                  <c:v>17372</c:v>
                </c:pt>
                <c:pt idx="51">
                  <c:v>17826</c:v>
                </c:pt>
                <c:pt idx="52">
                  <c:v>18245</c:v>
                </c:pt>
                <c:pt idx="53">
                  <c:v>18645</c:v>
                </c:pt>
                <c:pt idx="54">
                  <c:v>18981</c:v>
                </c:pt>
                <c:pt idx="55">
                  <c:v>19293</c:v>
                </c:pt>
                <c:pt idx="56">
                  <c:v>19534</c:v>
                </c:pt>
                <c:pt idx="57">
                  <c:v>19630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635-4E71-B442-2100941AEF3D}"/>
            </c:ext>
          </c:extLst>
        </c:ser>
        <c:ser>
          <c:idx val="3"/>
          <c:order val="1"/>
          <c:tx>
            <c:strRef>
              <c:f>'ons compare'!$C$7</c:f>
              <c:strCache>
                <c:ptCount val="1"/>
                <c:pt idx="0">
                  <c:v>ONS deaths by date of death, as of 28 April</c:v>
                </c:pt>
              </c:strCache>
            </c:strRef>
          </c:tx>
          <c:spPr>
            <a:ln w="28575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numRef>
              <c:f>'ons compare'!$A$8:$A$65</c:f>
              <c:numCache>
                <c:formatCode>d\-mmm</c:formatCode>
                <c:ptCount val="58"/>
                <c:pt idx="0">
                  <c:v>43892</c:v>
                </c:pt>
                <c:pt idx="1">
                  <c:v>43893</c:v>
                </c:pt>
                <c:pt idx="2">
                  <c:v>43894</c:v>
                </c:pt>
                <c:pt idx="3">
                  <c:v>43895</c:v>
                </c:pt>
                <c:pt idx="4">
                  <c:v>43896</c:v>
                </c:pt>
                <c:pt idx="5">
                  <c:v>43897</c:v>
                </c:pt>
                <c:pt idx="6">
                  <c:v>43898</c:v>
                </c:pt>
                <c:pt idx="7">
                  <c:v>43899</c:v>
                </c:pt>
                <c:pt idx="8">
                  <c:v>43900</c:v>
                </c:pt>
                <c:pt idx="9">
                  <c:v>43901</c:v>
                </c:pt>
                <c:pt idx="10">
                  <c:v>43902</c:v>
                </c:pt>
                <c:pt idx="11">
                  <c:v>43903</c:v>
                </c:pt>
                <c:pt idx="12">
                  <c:v>43904</c:v>
                </c:pt>
                <c:pt idx="13">
                  <c:v>43905</c:v>
                </c:pt>
                <c:pt idx="14">
                  <c:v>43906</c:v>
                </c:pt>
                <c:pt idx="15">
                  <c:v>43907</c:v>
                </c:pt>
                <c:pt idx="16">
                  <c:v>43908</c:v>
                </c:pt>
                <c:pt idx="17">
                  <c:v>43909</c:v>
                </c:pt>
                <c:pt idx="18">
                  <c:v>43910</c:v>
                </c:pt>
                <c:pt idx="19">
                  <c:v>43911</c:v>
                </c:pt>
                <c:pt idx="20">
                  <c:v>43912</c:v>
                </c:pt>
                <c:pt idx="21">
                  <c:v>43913</c:v>
                </c:pt>
                <c:pt idx="22">
                  <c:v>43914</c:v>
                </c:pt>
                <c:pt idx="23">
                  <c:v>43915</c:v>
                </c:pt>
                <c:pt idx="24">
                  <c:v>43916</c:v>
                </c:pt>
                <c:pt idx="25">
                  <c:v>43917</c:v>
                </c:pt>
                <c:pt idx="26">
                  <c:v>43918</c:v>
                </c:pt>
                <c:pt idx="27">
                  <c:v>43919</c:v>
                </c:pt>
                <c:pt idx="28">
                  <c:v>43920</c:v>
                </c:pt>
                <c:pt idx="29">
                  <c:v>43921</c:v>
                </c:pt>
                <c:pt idx="30">
                  <c:v>43922</c:v>
                </c:pt>
                <c:pt idx="31">
                  <c:v>43923</c:v>
                </c:pt>
                <c:pt idx="32">
                  <c:v>43924</c:v>
                </c:pt>
                <c:pt idx="33">
                  <c:v>43925</c:v>
                </c:pt>
                <c:pt idx="34">
                  <c:v>43926</c:v>
                </c:pt>
                <c:pt idx="35">
                  <c:v>43927</c:v>
                </c:pt>
                <c:pt idx="36">
                  <c:v>43928</c:v>
                </c:pt>
                <c:pt idx="37">
                  <c:v>43929</c:v>
                </c:pt>
                <c:pt idx="38">
                  <c:v>43930</c:v>
                </c:pt>
                <c:pt idx="39">
                  <c:v>43931</c:v>
                </c:pt>
                <c:pt idx="40">
                  <c:v>43932</c:v>
                </c:pt>
                <c:pt idx="41">
                  <c:v>43933</c:v>
                </c:pt>
                <c:pt idx="42">
                  <c:v>43934</c:v>
                </c:pt>
                <c:pt idx="43">
                  <c:v>43935</c:v>
                </c:pt>
                <c:pt idx="44">
                  <c:v>43936</c:v>
                </c:pt>
                <c:pt idx="45">
                  <c:v>43937</c:v>
                </c:pt>
                <c:pt idx="46">
                  <c:v>43938</c:v>
                </c:pt>
                <c:pt idx="47">
                  <c:v>43939</c:v>
                </c:pt>
                <c:pt idx="48">
                  <c:v>43940</c:v>
                </c:pt>
                <c:pt idx="49">
                  <c:v>43941</c:v>
                </c:pt>
                <c:pt idx="50">
                  <c:v>43942</c:v>
                </c:pt>
                <c:pt idx="51">
                  <c:v>43943</c:v>
                </c:pt>
                <c:pt idx="52">
                  <c:v>43944</c:v>
                </c:pt>
                <c:pt idx="53">
                  <c:v>43945</c:v>
                </c:pt>
                <c:pt idx="54">
                  <c:v>43946</c:v>
                </c:pt>
                <c:pt idx="55">
                  <c:v>43947</c:v>
                </c:pt>
                <c:pt idx="56">
                  <c:v>43948</c:v>
                </c:pt>
                <c:pt idx="57">
                  <c:v>43949</c:v>
                </c:pt>
              </c:numCache>
            </c:numRef>
          </c:cat>
          <c:val>
            <c:numRef>
              <c:f>'ons compare'!$C$8:$C$65</c:f>
              <c:numCache>
                <c:formatCode>General</c:formatCode>
                <c:ptCount val="5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5</c:v>
                </c:pt>
                <c:pt idx="7">
                  <c:v>10</c:v>
                </c:pt>
                <c:pt idx="8">
                  <c:v>11</c:v>
                </c:pt>
                <c:pt idx="9">
                  <c:v>17</c:v>
                </c:pt>
                <c:pt idx="10">
                  <c:v>28</c:v>
                </c:pt>
                <c:pt idx="11">
                  <c:v>43</c:v>
                </c:pt>
                <c:pt idx="12">
                  <c:v>61</c:v>
                </c:pt>
                <c:pt idx="13">
                  <c:v>89</c:v>
                </c:pt>
                <c:pt idx="14">
                  <c:v>132</c:v>
                </c:pt>
                <c:pt idx="15">
                  <c:v>184</c:v>
                </c:pt>
                <c:pt idx="16">
                  <c:v>248</c:v>
                </c:pt>
                <c:pt idx="17">
                  <c:v>316</c:v>
                </c:pt>
                <c:pt idx="18">
                  <c:v>419</c:v>
                </c:pt>
                <c:pt idx="19">
                  <c:v>535</c:v>
                </c:pt>
                <c:pt idx="20">
                  <c:v>697</c:v>
                </c:pt>
                <c:pt idx="21">
                  <c:v>877</c:v>
                </c:pt>
                <c:pt idx="22">
                  <c:v>1102</c:v>
                </c:pt>
                <c:pt idx="23">
                  <c:v>1387</c:v>
                </c:pt>
                <c:pt idx="24">
                  <c:v>1747</c:v>
                </c:pt>
                <c:pt idx="25">
                  <c:v>2147</c:v>
                </c:pt>
                <c:pt idx="26">
                  <c:v>2576</c:v>
                </c:pt>
                <c:pt idx="27">
                  <c:v>3088</c:v>
                </c:pt>
                <c:pt idx="28">
                  <c:v>3683</c:v>
                </c:pt>
                <c:pt idx="29">
                  <c:v>4398</c:v>
                </c:pt>
                <c:pt idx="30">
                  <c:v>5190</c:v>
                </c:pt>
                <c:pt idx="31">
                  <c:v>6051</c:v>
                </c:pt>
                <c:pt idx="32">
                  <c:v>6938</c:v>
                </c:pt>
                <c:pt idx="33">
                  <c:v>7915</c:v>
                </c:pt>
                <c:pt idx="34">
                  <c:v>8923</c:v>
                </c:pt>
                <c:pt idx="35">
                  <c:v>9890</c:v>
                </c:pt>
                <c:pt idx="36">
                  <c:v>10979</c:v>
                </c:pt>
                <c:pt idx="37">
                  <c:v>12197</c:v>
                </c:pt>
                <c:pt idx="38">
                  <c:v>13295</c:v>
                </c:pt>
                <c:pt idx="39">
                  <c:v>14384</c:v>
                </c:pt>
                <c:pt idx="40">
                  <c:v>15500</c:v>
                </c:pt>
                <c:pt idx="41">
                  <c:v>16601</c:v>
                </c:pt>
                <c:pt idx="42">
                  <c:v>17589</c:v>
                </c:pt>
                <c:pt idx="43">
                  <c:v>18576</c:v>
                </c:pt>
                <c:pt idx="44">
                  <c:v>19529</c:v>
                </c:pt>
                <c:pt idx="45">
                  <c:v>20477</c:v>
                </c:pt>
                <c:pt idx="46">
                  <c:v>21284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635-4E71-B442-2100941AEF3D}"/>
            </c:ext>
          </c:extLst>
        </c:ser>
        <c:ser>
          <c:idx val="4"/>
          <c:order val="2"/>
          <c:tx>
            <c:strRef>
              <c:f>'ons compare'!$D$7</c:f>
              <c:strCache>
                <c:ptCount val="1"/>
                <c:pt idx="0">
                  <c:v>PHE combined data series, as of 29 April</c:v>
                </c:pt>
              </c:strCache>
            </c:strRef>
          </c:tx>
          <c:spPr>
            <a:ln w="25400">
              <a:solidFill>
                <a:srgbClr val="00B092"/>
              </a:solidFill>
            </a:ln>
          </c:spPr>
          <c:marker>
            <c:symbol val="none"/>
          </c:marker>
          <c:cat>
            <c:numRef>
              <c:f>'ons compare'!$A$8:$A$65</c:f>
              <c:numCache>
                <c:formatCode>d\-mmm</c:formatCode>
                <c:ptCount val="58"/>
                <c:pt idx="0">
                  <c:v>43892</c:v>
                </c:pt>
                <c:pt idx="1">
                  <c:v>43893</c:v>
                </c:pt>
                <c:pt idx="2">
                  <c:v>43894</c:v>
                </c:pt>
                <c:pt idx="3">
                  <c:v>43895</c:v>
                </c:pt>
                <c:pt idx="4">
                  <c:v>43896</c:v>
                </c:pt>
                <c:pt idx="5">
                  <c:v>43897</c:v>
                </c:pt>
                <c:pt idx="6">
                  <c:v>43898</c:v>
                </c:pt>
                <c:pt idx="7">
                  <c:v>43899</c:v>
                </c:pt>
                <c:pt idx="8">
                  <c:v>43900</c:v>
                </c:pt>
                <c:pt idx="9">
                  <c:v>43901</c:v>
                </c:pt>
                <c:pt idx="10">
                  <c:v>43902</c:v>
                </c:pt>
                <c:pt idx="11">
                  <c:v>43903</c:v>
                </c:pt>
                <c:pt idx="12">
                  <c:v>43904</c:v>
                </c:pt>
                <c:pt idx="13">
                  <c:v>43905</c:v>
                </c:pt>
                <c:pt idx="14">
                  <c:v>43906</c:v>
                </c:pt>
                <c:pt idx="15">
                  <c:v>43907</c:v>
                </c:pt>
                <c:pt idx="16">
                  <c:v>43908</c:v>
                </c:pt>
                <c:pt idx="17">
                  <c:v>43909</c:v>
                </c:pt>
                <c:pt idx="18">
                  <c:v>43910</c:v>
                </c:pt>
                <c:pt idx="19">
                  <c:v>43911</c:v>
                </c:pt>
                <c:pt idx="20">
                  <c:v>43912</c:v>
                </c:pt>
                <c:pt idx="21">
                  <c:v>43913</c:v>
                </c:pt>
                <c:pt idx="22">
                  <c:v>43914</c:v>
                </c:pt>
                <c:pt idx="23">
                  <c:v>43915</c:v>
                </c:pt>
                <c:pt idx="24">
                  <c:v>43916</c:v>
                </c:pt>
                <c:pt idx="25">
                  <c:v>43917</c:v>
                </c:pt>
                <c:pt idx="26">
                  <c:v>43918</c:v>
                </c:pt>
                <c:pt idx="27">
                  <c:v>43919</c:v>
                </c:pt>
                <c:pt idx="28">
                  <c:v>43920</c:v>
                </c:pt>
                <c:pt idx="29">
                  <c:v>43921</c:v>
                </c:pt>
                <c:pt idx="30">
                  <c:v>43922</c:v>
                </c:pt>
                <c:pt idx="31">
                  <c:v>43923</c:v>
                </c:pt>
                <c:pt idx="32">
                  <c:v>43924</c:v>
                </c:pt>
                <c:pt idx="33">
                  <c:v>43925</c:v>
                </c:pt>
                <c:pt idx="34">
                  <c:v>43926</c:v>
                </c:pt>
                <c:pt idx="35">
                  <c:v>43927</c:v>
                </c:pt>
                <c:pt idx="36">
                  <c:v>43928</c:v>
                </c:pt>
                <c:pt idx="37">
                  <c:v>43929</c:v>
                </c:pt>
                <c:pt idx="38">
                  <c:v>43930</c:v>
                </c:pt>
                <c:pt idx="39">
                  <c:v>43931</c:v>
                </c:pt>
                <c:pt idx="40">
                  <c:v>43932</c:v>
                </c:pt>
                <c:pt idx="41">
                  <c:v>43933</c:v>
                </c:pt>
                <c:pt idx="42">
                  <c:v>43934</c:v>
                </c:pt>
                <c:pt idx="43">
                  <c:v>43935</c:v>
                </c:pt>
                <c:pt idx="44">
                  <c:v>43936</c:v>
                </c:pt>
                <c:pt idx="45">
                  <c:v>43937</c:v>
                </c:pt>
                <c:pt idx="46">
                  <c:v>43938</c:v>
                </c:pt>
                <c:pt idx="47">
                  <c:v>43939</c:v>
                </c:pt>
                <c:pt idx="48">
                  <c:v>43940</c:v>
                </c:pt>
                <c:pt idx="49">
                  <c:v>43941</c:v>
                </c:pt>
                <c:pt idx="50">
                  <c:v>43942</c:v>
                </c:pt>
                <c:pt idx="51">
                  <c:v>43943</c:v>
                </c:pt>
                <c:pt idx="52">
                  <c:v>43944</c:v>
                </c:pt>
                <c:pt idx="53">
                  <c:v>43945</c:v>
                </c:pt>
                <c:pt idx="54">
                  <c:v>43946</c:v>
                </c:pt>
                <c:pt idx="55">
                  <c:v>43947</c:v>
                </c:pt>
                <c:pt idx="56">
                  <c:v>43948</c:v>
                </c:pt>
                <c:pt idx="57">
                  <c:v>43949</c:v>
                </c:pt>
              </c:numCache>
            </c:numRef>
          </c:cat>
          <c:val>
            <c:numRef>
              <c:f>'ons compare'!$D$8:$D$65</c:f>
              <c:numCache>
                <c:formatCode>0</c:formatCode>
                <c:ptCount val="58"/>
                <c:pt idx="0">
                  <c:v>1</c:v>
                </c:pt>
                <c:pt idx="1">
                  <c:v>3</c:v>
                </c:pt>
                <c:pt idx="2">
                  <c:v>0</c:v>
                </c:pt>
                <c:pt idx="3">
                  <c:v>6</c:v>
                </c:pt>
                <c:pt idx="4">
                  <c:v>0</c:v>
                </c:pt>
                <c:pt idx="5">
                  <c:v>0</c:v>
                </c:pt>
                <c:pt idx="6">
                  <c:v>11</c:v>
                </c:pt>
                <c:pt idx="7">
                  <c:v>15</c:v>
                </c:pt>
                <c:pt idx="8">
                  <c:v>16</c:v>
                </c:pt>
                <c:pt idx="9">
                  <c:v>24</c:v>
                </c:pt>
                <c:pt idx="10">
                  <c:v>36</c:v>
                </c:pt>
                <c:pt idx="11">
                  <c:v>52</c:v>
                </c:pt>
                <c:pt idx="12">
                  <c:v>73</c:v>
                </c:pt>
                <c:pt idx="13">
                  <c:v>108</c:v>
                </c:pt>
                <c:pt idx="14">
                  <c:v>149</c:v>
                </c:pt>
                <c:pt idx="15">
                  <c:v>200</c:v>
                </c:pt>
                <c:pt idx="16">
                  <c:v>271</c:v>
                </c:pt>
                <c:pt idx="17">
                  <c:v>335</c:v>
                </c:pt>
                <c:pt idx="18">
                  <c:v>445</c:v>
                </c:pt>
                <c:pt idx="19">
                  <c:v>552</c:v>
                </c:pt>
                <c:pt idx="20">
                  <c:v>711</c:v>
                </c:pt>
                <c:pt idx="21">
                  <c:v>876</c:v>
                </c:pt>
                <c:pt idx="22">
                  <c:v>1091</c:v>
                </c:pt>
                <c:pt idx="23">
                  <c:v>1369</c:v>
                </c:pt>
                <c:pt idx="24">
                  <c:v>1706</c:v>
                </c:pt>
                <c:pt idx="25">
                  <c:v>2085</c:v>
                </c:pt>
                <c:pt idx="26">
                  <c:v>2468</c:v>
                </c:pt>
                <c:pt idx="27">
                  <c:v>3107</c:v>
                </c:pt>
                <c:pt idx="28">
                  <c:v>3753</c:v>
                </c:pt>
                <c:pt idx="29">
                  <c:v>4143</c:v>
                </c:pt>
                <c:pt idx="30">
                  <c:v>4819</c:v>
                </c:pt>
                <c:pt idx="31">
                  <c:v>5501</c:v>
                </c:pt>
                <c:pt idx="32">
                  <c:v>6229</c:v>
                </c:pt>
                <c:pt idx="33">
                  <c:v>7064</c:v>
                </c:pt>
                <c:pt idx="34">
                  <c:v>7873</c:v>
                </c:pt>
                <c:pt idx="35">
                  <c:v>8674</c:v>
                </c:pt>
                <c:pt idx="36">
                  <c:v>9582</c:v>
                </c:pt>
                <c:pt idx="37">
                  <c:v>10552</c:v>
                </c:pt>
                <c:pt idx="38">
                  <c:v>11413</c:v>
                </c:pt>
                <c:pt idx="39">
                  <c:v>12260</c:v>
                </c:pt>
                <c:pt idx="40">
                  <c:v>13125</c:v>
                </c:pt>
                <c:pt idx="41">
                  <c:v>13964</c:v>
                </c:pt>
                <c:pt idx="42">
                  <c:v>14759</c:v>
                </c:pt>
                <c:pt idx="43">
                  <c:v>15526</c:v>
                </c:pt>
                <c:pt idx="44">
                  <c:v>16301</c:v>
                </c:pt>
                <c:pt idx="45">
                  <c:v>17035</c:v>
                </c:pt>
                <c:pt idx="46">
                  <c:v>17759</c:v>
                </c:pt>
                <c:pt idx="47">
                  <c:v>18450</c:v>
                </c:pt>
                <c:pt idx="48">
                  <c:v>19113</c:v>
                </c:pt>
                <c:pt idx="49">
                  <c:v>19787</c:v>
                </c:pt>
                <c:pt idx="50">
                  <c:v>20398</c:v>
                </c:pt>
                <c:pt idx="51">
                  <c:v>21011</c:v>
                </c:pt>
                <c:pt idx="52">
                  <c:v>21575</c:v>
                </c:pt>
                <c:pt idx="53">
                  <c:v>22121</c:v>
                </c:pt>
                <c:pt idx="54">
                  <c:v>22585</c:v>
                </c:pt>
                <c:pt idx="55">
                  <c:v>23009</c:v>
                </c:pt>
                <c:pt idx="56">
                  <c:v>23386</c:v>
                </c:pt>
                <c:pt idx="57">
                  <c:v>23550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635-4E71-B442-2100941AEF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89377608"/>
        <c:axId val="1"/>
      </c:lineChart>
      <c:dateAx>
        <c:axId val="4893776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Date of death</a:t>
                </a:r>
              </a:p>
            </c:rich>
          </c:tx>
          <c:overlay val="0"/>
        </c:title>
        <c:numFmt formatCode="d\-mmm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vert="horz"/>
          <a:lstStyle/>
          <a:p>
            <a:pPr>
              <a:defRPr sz="700"/>
            </a:pPr>
            <a:endParaRPr lang="en-US"/>
          </a:p>
        </c:txPr>
        <c:crossAx val="1"/>
        <c:crosses val="autoZero"/>
        <c:auto val="1"/>
        <c:lblOffset val="100"/>
        <c:baseTimeUnit val="days"/>
      </c:date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Cumulative number of deaths</a:t>
                </a:r>
              </a:p>
            </c:rich>
          </c:tx>
          <c:overlay val="0"/>
        </c:title>
        <c:numFmt formatCode="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/>
            </a:pPr>
            <a:endParaRPr lang="en-US"/>
          </a:p>
        </c:txPr>
        <c:crossAx val="489377608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8.6440689889087027E-2"/>
          <c:y val="0.10862370284926279"/>
          <c:w val="0.56892663214582118"/>
          <c:h val="0.17247122284463101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 panose="020B0604020202020204" pitchFamily="34" charset="0"/>
          <a:ea typeface="Calibri"/>
          <a:cs typeface="Arial" panose="020B0604020202020204" pitchFamily="34" charset="0"/>
        </a:defRPr>
      </a:pPr>
      <a:endParaRPr lang="en-US"/>
    </a:p>
  </c:txPr>
  <c:externalData r:id="rId2">
    <c:autoUpdate val="0"/>
  </c:externalData>
  <c:userShapes r:id="rId3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0.75236</cdr:x>
      <cdr:y>0.00889</cdr:y>
    </cdr:from>
    <cdr:to>
      <cdr:x>0.92826</cdr:x>
      <cdr:y>0.25024</cdr:y>
    </cdr:to>
    <cdr:sp macro="" textlink="">
      <cdr:nvSpPr>
        <cdr:cNvPr id="2" name="Callout: Down Arrow 1"/>
        <cdr:cNvSpPr/>
      </cdr:nvSpPr>
      <cdr:spPr>
        <a:xfrm xmlns:a="http://schemas.openxmlformats.org/drawingml/2006/main">
          <a:off x="4848225" y="41274"/>
          <a:ext cx="1133475" cy="1120775"/>
        </a:xfrm>
        <a:prstGeom xmlns:a="http://schemas.openxmlformats.org/drawingml/2006/main" prst="downArrowCallout">
          <a:avLst>
            <a:gd name="adj1" fmla="val 0"/>
            <a:gd name="adj2" fmla="val 5684"/>
            <a:gd name="adj3" fmla="val 17307"/>
            <a:gd name="adj4" fmla="val 64749"/>
          </a:avLst>
        </a:prstGeom>
        <a:solidFill xmlns:a="http://schemas.openxmlformats.org/drawingml/2006/main">
          <a:schemeClr val="bg1">
            <a:lumMod val="85000"/>
          </a:schemeClr>
        </a:solidFill>
        <a:ln xmlns:a="http://schemas.openxmlformats.org/drawingml/2006/main" w="12700">
          <a:solidFill>
            <a:schemeClr val="tx1">
              <a:lumMod val="50000"/>
              <a:lumOff val="50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0" tIns="0" rIns="0" bIns="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>
            <a:spcAft>
              <a:spcPts val="0"/>
            </a:spcAft>
          </a:pPr>
          <a:r>
            <a:rPr lang="en-GB" sz="800">
              <a:solidFill>
                <a:srgbClr val="262626"/>
              </a:solidFill>
              <a:effectLst/>
              <a:latin typeface="Arial" panose="020B0604020202020204" pitchFamily="34" charset="0"/>
              <a:ea typeface="Times New Roman" panose="02020603050405020304" pitchFamily="18" charset="0"/>
            </a:rPr>
            <a:t>Deaths where COVID was recorded on death certificate but was not laboratory confirmed</a:t>
          </a:r>
          <a:endParaRPr lang="en-GB" sz="1200">
            <a:effectLst/>
            <a:latin typeface="Arial" panose="020B0604020202020204" pitchFamily="34" charset="0"/>
            <a:ea typeface="Times New Roman" panose="02020603050405020304" pitchFamily="18" charset="0"/>
          </a:endParaRPr>
        </a:p>
      </cdr:txBody>
    </cdr:sp>
  </cdr:relSizeAnchor>
  <cdr:relSizeAnchor xmlns:cdr="http://schemas.openxmlformats.org/drawingml/2006/chartDrawing">
    <cdr:from>
      <cdr:x>0.81789</cdr:x>
      <cdr:y>0.2099</cdr:y>
    </cdr:from>
    <cdr:to>
      <cdr:x>0.8381</cdr:x>
      <cdr:y>0.30152</cdr:y>
    </cdr:to>
    <cdr:sp macro="" textlink="">
      <cdr:nvSpPr>
        <cdr:cNvPr id="3" name="Right Brace 2"/>
        <cdr:cNvSpPr/>
      </cdr:nvSpPr>
      <cdr:spPr>
        <a:xfrm xmlns:a="http://schemas.openxmlformats.org/drawingml/2006/main">
          <a:off x="5270499" y="974725"/>
          <a:ext cx="130175" cy="425450"/>
        </a:xfrm>
        <a:prstGeom xmlns:a="http://schemas.openxmlformats.org/drawingml/2006/main" prst="rightBrace">
          <a:avLst/>
        </a:prstGeom>
        <a:ln xmlns:a="http://schemas.openxmlformats.org/drawingml/2006/main">
          <a:solidFill>
            <a:schemeClr val="tx1">
              <a:lumMod val="50000"/>
              <a:lumOff val="50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endParaRPr lang="en-GB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547DEF730D74EA5543201242B40D3" ma:contentTypeVersion="8" ma:contentTypeDescription="Create a new document." ma:contentTypeScope="" ma:versionID="52423a80864e31395eb56070ce0039d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248a340790c531f5f28813cd99774a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Publishing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PublishingContact" ma:index="12" nillable="true" ma:displayName="Contact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Contact xmlns="http://schemas.microsoft.com/sharepoint/v3">
      <UserInfo>
        <DisplayName/>
        <AccountId xsi:nil="true"/>
        <AccountType/>
      </UserInfo>
    </PublishingContac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5992-F800-4E5A-9B78-4AA20EE77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A7FF51-1236-467C-B123-6581DC3F1D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5618F-15C8-4149-AEF6-AA4FF80FB6AC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C74CE53-FD9B-43B7-8E6A-BA45DE5B0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2416</Words>
  <Characters>13308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PHE document</vt:lpstr>
    </vt:vector>
  </TitlesOfParts>
  <Company/>
  <LinksUpToDate>false</LinksUpToDate>
  <CharactersWithSpaces>15693</CharactersWithSpaces>
  <SharedDoc>false</SharedDoc>
  <HLinks>
    <vt:vector size="66" baseType="variant">
      <vt:variant>
        <vt:i4>1900552</vt:i4>
      </vt:variant>
      <vt:variant>
        <vt:i4>45</vt:i4>
      </vt:variant>
      <vt:variant>
        <vt:i4>0</vt:i4>
      </vt:variant>
      <vt:variant>
        <vt:i4>5</vt:i4>
      </vt:variant>
      <vt:variant>
        <vt:lpwstr>http://phenet.phe.gov.uk/Policies-and-Procedures/Pages/Editorial-house-style.aspx</vt:lpwstr>
      </vt:variant>
      <vt:variant>
        <vt:lpwstr/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_Toc351547630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_Toc351547629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_Toc351547628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_Toc351547626</vt:lpwstr>
      </vt:variant>
      <vt:variant>
        <vt:i4>3670022</vt:i4>
      </vt:variant>
      <vt:variant>
        <vt:i4>12</vt:i4>
      </vt:variant>
      <vt:variant>
        <vt:i4>0</vt:i4>
      </vt:variant>
      <vt:variant>
        <vt:i4>5</vt:i4>
      </vt:variant>
      <vt:variant>
        <vt:lpwstr>mailto:psi@nationalarchives.gsi.gov.uk</vt:lpwstr>
      </vt:variant>
      <vt:variant>
        <vt:lpwstr/>
      </vt:variant>
      <vt:variant>
        <vt:i4>3932223</vt:i4>
      </vt:variant>
      <vt:variant>
        <vt:i4>9</vt:i4>
      </vt:variant>
      <vt:variant>
        <vt:i4>0</vt:i4>
      </vt:variant>
      <vt:variant>
        <vt:i4>5</vt:i4>
      </vt:variant>
      <vt:variant>
        <vt:lpwstr>https://www.nationalarchives.gov.uk/doc/open-government-licence/version/3/</vt:lpwstr>
      </vt:variant>
      <vt:variant>
        <vt:lpwstr/>
      </vt:variant>
      <vt:variant>
        <vt:i4>3801147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http://www.facebook.com/PublicHealthEngland</vt:lpwstr>
      </vt:variant>
      <vt:variant>
        <vt:lpwstr/>
      </vt:variant>
      <vt:variant>
        <vt:i4>4522037</vt:i4>
      </vt:variant>
      <vt:variant>
        <vt:i4>3</vt:i4>
      </vt:variant>
      <vt:variant>
        <vt:i4>0</vt:i4>
      </vt:variant>
      <vt:variant>
        <vt:i4>5</vt:i4>
      </vt:variant>
      <vt:variant>
        <vt:lpwstr>https://twitter.com/PHE_uk</vt:lpwstr>
      </vt:variant>
      <vt:variant>
        <vt:lpwstr/>
      </vt:variant>
      <vt:variant>
        <vt:i4>524298</vt:i4>
      </vt:variant>
      <vt:variant>
        <vt:i4>0</vt:i4>
      </vt:variant>
      <vt:variant>
        <vt:i4>0</vt:i4>
      </vt:variant>
      <vt:variant>
        <vt:i4>5</vt:i4>
      </vt:variant>
      <vt:variant>
        <vt:lpwstr>http://www.gov.uk/phe</vt:lpwstr>
      </vt:variant>
      <vt:variant>
        <vt:lpwstr/>
      </vt:variant>
      <vt:variant>
        <vt:i4>7929966</vt:i4>
      </vt:variant>
      <vt:variant>
        <vt:i4>-1</vt:i4>
      </vt:variant>
      <vt:variant>
        <vt:i4>1027</vt:i4>
      </vt:variant>
      <vt:variant>
        <vt:i4>4</vt:i4>
      </vt:variant>
      <vt:variant>
        <vt:lpwstr>https://www.gov.uk/government/collections/sustainability-and-public-health-a-guide-to-good-practice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 document</dc:title>
  <dc:creator>Vicki Litherland</dc:creator>
  <cp:lastModifiedBy>Ellen Heinsbroek</cp:lastModifiedBy>
  <cp:revision>8</cp:revision>
  <cp:lastPrinted>2020-04-17T14:51:00Z</cp:lastPrinted>
  <dcterms:created xsi:type="dcterms:W3CDTF">2020-04-29T10:01:00Z</dcterms:created>
  <dcterms:modified xsi:type="dcterms:W3CDTF">2020-04-29T12:06:00Z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0x010100855547DEF730D74EA5543201242B40D3</vt:lpwstr>
  </property>
</Properties>
</file>