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D3D30" w14:textId="77777777" w:rsidR="00EB0347" w:rsidRPr="00EB0347" w:rsidRDefault="00EB0347" w:rsidP="00FD13D5">
      <w:pPr>
        <w:pStyle w:val="Heading1"/>
        <w:spacing w:before="0"/>
        <w:rPr>
          <w:rFonts w:eastAsiaTheme="majorEastAsia"/>
        </w:rPr>
      </w:pPr>
      <w:r w:rsidRPr="00EB0347">
        <w:rPr>
          <w:rFonts w:eastAsiaTheme="majorEastAsia"/>
        </w:rPr>
        <w:t>Methodology for summary rank indicators</w:t>
      </w:r>
    </w:p>
    <w:p w14:paraId="0D412572" w14:textId="77777777" w:rsidR="00EB0347" w:rsidRPr="00EB0347" w:rsidRDefault="00EB0347" w:rsidP="00380C48">
      <w:pPr>
        <w:pStyle w:val="Heading2"/>
      </w:pPr>
      <w:r w:rsidRPr="00EB0347">
        <w:t>Overview</w:t>
      </w:r>
    </w:p>
    <w:p w14:paraId="17463313" w14:textId="300ACC8D" w:rsidR="00EB0347" w:rsidRPr="00EB0347" w:rsidRDefault="00EB0347" w:rsidP="00380C48">
      <w:r w:rsidRPr="00EB0347">
        <w:t>Each of the service areas within the P</w:t>
      </w:r>
      <w:r w:rsidR="00536FD5">
        <w:t>ublic Health Dashboard</w:t>
      </w:r>
      <w:r w:rsidR="006F5B13">
        <w:t>,</w:t>
      </w:r>
      <w:r w:rsidR="00536FD5">
        <w:t xml:space="preserve"> </w:t>
      </w:r>
      <w:r w:rsidR="00FA23B3">
        <w:t>for which summary ranks are calculated</w:t>
      </w:r>
      <w:r w:rsidR="00FA23B3">
        <w:rPr>
          <w:rStyle w:val="FootnoteReference"/>
        </w:rPr>
        <w:footnoteReference w:id="1"/>
      </w:r>
      <w:r w:rsidR="006F5B13">
        <w:t>,</w:t>
      </w:r>
      <w:r w:rsidR="00FA23B3">
        <w:t xml:space="preserve"> </w:t>
      </w:r>
      <w:r w:rsidR="00536FD5">
        <w:t>contains</w:t>
      </w:r>
      <w:r w:rsidRPr="00EB0347">
        <w:t xml:space="preserve"> </w:t>
      </w:r>
      <w:r w:rsidR="00536FD5">
        <w:t xml:space="preserve">between </w:t>
      </w:r>
      <w:r w:rsidRPr="00EB0347">
        <w:t xml:space="preserve">two </w:t>
      </w:r>
      <w:r w:rsidR="00536FD5">
        <w:t>and</w:t>
      </w:r>
      <w:r w:rsidRPr="00EB0347">
        <w:t xml:space="preserve"> </w:t>
      </w:r>
      <w:r w:rsidR="007C59A4">
        <w:t>five</w:t>
      </w:r>
      <w:r w:rsidR="007C59A4" w:rsidRPr="00EB0347">
        <w:t xml:space="preserve"> </w:t>
      </w:r>
      <w:r w:rsidRPr="00EB0347">
        <w:t>component indicators. These component indicators have been</w:t>
      </w:r>
      <w:r w:rsidR="00536FD5">
        <w:t xml:space="preserve"> transformed, </w:t>
      </w:r>
      <w:r w:rsidRPr="00EB0347">
        <w:t xml:space="preserve">normalised and </w:t>
      </w:r>
      <w:r w:rsidRPr="00380C48">
        <w:t>combined</w:t>
      </w:r>
      <w:r w:rsidRPr="00EB0347">
        <w:t xml:space="preserve"> into one overall indicator for each service area. This has been calculated as the average of the normalised </w:t>
      </w:r>
      <w:r w:rsidR="00536FD5">
        <w:t xml:space="preserve">transformed </w:t>
      </w:r>
      <w:r w:rsidRPr="00EB0347">
        <w:t xml:space="preserve">component scores. </w:t>
      </w:r>
    </w:p>
    <w:p w14:paraId="7B221D44" w14:textId="11D79533" w:rsidR="00EB0347" w:rsidRPr="00EB0347" w:rsidRDefault="00EB0347" w:rsidP="00380C48">
      <w:r w:rsidRPr="00EB0347">
        <w:t>For presentation in the Public Health Dashboard</w:t>
      </w:r>
      <w:r w:rsidR="00DC5678">
        <w:t>,</w:t>
      </w:r>
      <w:r w:rsidRPr="00EB0347">
        <w:t xml:space="preserve"> the combined indicators have been ranked from best to worst for each service area and divided into four categories described below.</w:t>
      </w:r>
    </w:p>
    <w:p w14:paraId="66C9B0D6" w14:textId="77777777" w:rsidR="00EB0347" w:rsidRPr="00EB0347" w:rsidRDefault="00EB0347" w:rsidP="00380C48">
      <w:pPr>
        <w:pStyle w:val="Heading2"/>
      </w:pPr>
      <w:r w:rsidRPr="00EB0347">
        <w:t>Detailed methodology</w:t>
      </w:r>
      <w:r w:rsidRPr="00EB0347">
        <w:tab/>
      </w:r>
    </w:p>
    <w:p w14:paraId="6291FAC0" w14:textId="77777777" w:rsidR="00EB0347" w:rsidRPr="00EB0347" w:rsidRDefault="00EB0347" w:rsidP="00380C48">
      <w:r w:rsidRPr="00EB0347">
        <w:t>The summary rank indicator is the simple rank of each combined indicator. Each combined i</w:t>
      </w:r>
      <w:r w:rsidR="0085323E">
        <w:t xml:space="preserve">ndicator is comprised of </w:t>
      </w:r>
      <w:r w:rsidRPr="00EB0347">
        <w:t xml:space="preserve">two </w:t>
      </w:r>
      <w:r w:rsidR="0085323E">
        <w:t>or</w:t>
      </w:r>
      <w:r w:rsidRPr="00EB0347">
        <w:t xml:space="preserve"> </w:t>
      </w:r>
      <w:r w:rsidR="0097378A">
        <w:t>more</w:t>
      </w:r>
      <w:r w:rsidRPr="00EB0347">
        <w:t xml:space="preserve"> component indicators.  The methodology for constructing these is set out below.</w:t>
      </w:r>
    </w:p>
    <w:p w14:paraId="154D7F01" w14:textId="77777777" w:rsidR="00380C48" w:rsidRPr="00EB0347" w:rsidRDefault="00EB0347" w:rsidP="00380C48">
      <w:r w:rsidRPr="00EB0347">
        <w:t>For each component indicator, the distribution of valu</w:t>
      </w:r>
      <w:r w:rsidR="00380C48">
        <w:t xml:space="preserve">es was first assessed to ensure </w:t>
      </w:r>
      <w:r w:rsidRPr="00EB0347">
        <w:t>that it exhibited substantial variation between local authorities (LAs), i</w:t>
      </w:r>
      <w:r w:rsidR="001E02EC">
        <w:t>.</w:t>
      </w:r>
      <w:r w:rsidRPr="00EB0347">
        <w:t>e</w:t>
      </w:r>
      <w:r w:rsidR="001E02EC">
        <w:t>.</w:t>
      </w:r>
      <w:r w:rsidRPr="00EB0347">
        <w:t xml:space="preserve"> that the range of values across LAs was more than would be expected </w:t>
      </w:r>
      <w:r w:rsidR="00380C48">
        <w:t>simply through random variation. Any indicators not exhibiting substantial variation were discarded.</w:t>
      </w:r>
    </w:p>
    <w:p w14:paraId="590E0860" w14:textId="77777777" w:rsidR="00EB0347" w:rsidRPr="00EB0347" w:rsidRDefault="00380C48" w:rsidP="00380C48">
      <w:r>
        <w:t xml:space="preserve">The indicators were then transformed according to the type of indicator: </w:t>
      </w:r>
      <w:r w:rsidR="001E02EC">
        <w:t>T</w:t>
      </w:r>
      <w:r>
        <w:t>hose that were rates were log-transformed and proportions were</w:t>
      </w:r>
      <w:r w:rsidR="00EB0347" w:rsidRPr="00EB0347">
        <w:t xml:space="preserve"> transformed using the logit transformation, after which their distributions were approximately normal.</w:t>
      </w:r>
    </w:p>
    <w:p w14:paraId="0A6441DD" w14:textId="77777777" w:rsidR="00EB0347" w:rsidRPr="00380C48" w:rsidRDefault="00B71E2B" w:rsidP="00380C48">
      <w:pPr>
        <w:rPr>
          <w:rFonts w:eastAsiaTheme="minorEastAsia"/>
        </w:rPr>
      </w:pPr>
      <m:oMathPara>
        <m:oMathParaPr>
          <m:jc m:val="center"/>
        </m:oMathParaPr>
        <m:oMath>
          <m:func>
            <m:funcPr>
              <m:ctrlPr>
                <w:rPr>
                  <w:rFonts w:ascii="Cambria Math" w:hAnsi="Cambria Math"/>
                </w:rPr>
              </m:ctrlPr>
            </m:funcPr>
            <m:fName>
              <m:r>
                <m:rPr>
                  <m:sty m:val="p"/>
                </m:rPr>
                <w:rPr>
                  <w:rFonts w:ascii="Cambria Math" w:hAnsi="Cambria Math"/>
                </w:rPr>
                <m:t>logit</m:t>
              </m:r>
            </m:fName>
            <m:e>
              <m:d>
                <m:dPr>
                  <m:ctrlPr>
                    <w:rPr>
                      <w:rFonts w:ascii="Cambria Math" w:hAnsi="Cambria Math"/>
                    </w:rPr>
                  </m:ctrlPr>
                </m:dPr>
                <m:e>
                  <m:r>
                    <w:rPr>
                      <w:rFonts w:ascii="Cambria Math" w:hAnsi="Cambria Math"/>
                    </w:rPr>
                    <m:t>p</m:t>
                  </m:r>
                </m:e>
              </m:d>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ln</m:t>
              </m:r>
            </m:fName>
            <m:e>
              <m:f>
                <m:fPr>
                  <m:ctrlPr>
                    <w:rPr>
                      <w:rFonts w:ascii="Cambria Math" w:hAnsi="Cambria Math"/>
                    </w:rPr>
                  </m:ctrlPr>
                </m:fPr>
                <m:num>
                  <m:r>
                    <w:rPr>
                      <w:rFonts w:ascii="Cambria Math" w:hAnsi="Cambria Math"/>
                    </w:rPr>
                    <m:t>p</m:t>
                  </m:r>
                </m:num>
                <m:den>
                  <m:r>
                    <m:rPr>
                      <m:sty m:val="p"/>
                    </m:rPr>
                    <w:rPr>
                      <w:rFonts w:ascii="Cambria Math" w:hAnsi="Cambria Math"/>
                    </w:rPr>
                    <m:t>1-</m:t>
                  </m:r>
                  <m:r>
                    <w:rPr>
                      <w:rFonts w:ascii="Cambria Math" w:hAnsi="Cambria Math"/>
                    </w:rPr>
                    <m:t>p</m:t>
                  </m:r>
                </m:den>
              </m:f>
            </m:e>
          </m:func>
        </m:oMath>
      </m:oMathPara>
    </w:p>
    <w:p w14:paraId="3D1D72FB" w14:textId="1B13AFC9" w:rsidR="00085A68" w:rsidRDefault="00085A68" w:rsidP="0097378A">
      <w:r>
        <w:t xml:space="preserve">For percentage-based indicators, if any percentages were greater than 100%, the log value given for these was the highest log value specified within that indicator multiplied by 1.25. Conversely, </w:t>
      </w:r>
      <w:r w:rsidR="00DC5678">
        <w:t>if any percentages were less than 0%, the log value given for these would be the lowest log value specified within that indicator multiplied by 1.25.</w:t>
      </w:r>
      <w:r>
        <w:t xml:space="preserve"> </w:t>
      </w:r>
    </w:p>
    <w:p w14:paraId="433F7FD8" w14:textId="0D225ABE" w:rsidR="00A8707A" w:rsidRDefault="00EB0347" w:rsidP="0097378A">
      <w:r w:rsidRPr="00EB0347">
        <w:lastRenderedPageBreak/>
        <w:t xml:space="preserve">The </w:t>
      </w:r>
      <w:r w:rsidR="00A8707A">
        <w:t xml:space="preserve">transformed </w:t>
      </w:r>
      <w:r w:rsidRPr="00EB0347">
        <w:t>values for each LA of each component indicator were then normalised, generating</w:t>
      </w:r>
      <w:r>
        <w:t xml:space="preserve"> </w:t>
      </w:r>
      <w:r w:rsidRPr="00B47CF8">
        <w:rPr>
          <w:i/>
        </w:rPr>
        <w:t>z</w:t>
      </w:r>
      <w:r>
        <w:t>-s</w:t>
      </w:r>
      <w:r w:rsidRPr="00EB0347">
        <w:rPr>
          <w:rFonts w:eastAsiaTheme="minorEastAsia"/>
        </w:rPr>
        <w:t>cores</w:t>
      </w:r>
      <w:r w:rsidRPr="00EB0347">
        <w:t xml:space="preserve"> (OECD 2008, p84).  To do this, the mean and standard deviation of the </w:t>
      </w:r>
      <w:r w:rsidR="00380C48">
        <w:t xml:space="preserve">(log or logit) transformed </w:t>
      </w:r>
      <w:r w:rsidRPr="00EB0347">
        <w:t xml:space="preserve">valid observed LA values are calculated, and then each LA value is transformed onto a standard normal distribution by subtracting the mean and dividing by the </w:t>
      </w:r>
      <w:r w:rsidR="00DC5678">
        <w:t xml:space="preserve">sample </w:t>
      </w:r>
      <w:r w:rsidRPr="00EB0347">
        <w:t xml:space="preserve">standard deviation.  Indicators for which low values represented ‘good’ outcomes have their </w:t>
      </w:r>
      <w:r>
        <w:rPr>
          <w:i/>
        </w:rPr>
        <w:t>z</w:t>
      </w:r>
      <w:r w:rsidRPr="00EB0347">
        <w:rPr>
          <w:rFonts w:eastAsiaTheme="minorEastAsia"/>
        </w:rPr>
        <w:noBreakHyphen/>
        <w:t>score</w:t>
      </w:r>
      <w:r w:rsidRPr="00EB0347">
        <w:t>s inverted (i</w:t>
      </w:r>
      <w:r w:rsidR="001E02EC">
        <w:t>.</w:t>
      </w:r>
      <w:r w:rsidRPr="00EB0347">
        <w:t>e</w:t>
      </w:r>
      <w:r w:rsidR="001E02EC">
        <w:t>.</w:t>
      </w:r>
      <w:r w:rsidRPr="00EB0347">
        <w:t xml:space="preserve"> subtracted from zero) so all positive </w:t>
      </w:r>
      <w:r w:rsidRPr="00EB0347">
        <w:rPr>
          <w:i/>
        </w:rPr>
        <w:t>z</w:t>
      </w:r>
      <w:r w:rsidRPr="00EB0347">
        <w:rPr>
          <w:rFonts w:eastAsiaTheme="minorEastAsia"/>
        </w:rPr>
        <w:noBreakHyphen/>
        <w:t>score</w:t>
      </w:r>
      <w:r w:rsidRPr="00EB0347">
        <w:t xml:space="preserve">s indicate good outcomes and all negative </w:t>
      </w:r>
      <w:r>
        <w:rPr>
          <w:i/>
        </w:rPr>
        <w:t>z</w:t>
      </w:r>
      <w:r w:rsidRPr="00EB0347">
        <w:rPr>
          <w:rFonts w:eastAsiaTheme="minorEastAsia"/>
        </w:rPr>
        <w:noBreakHyphen/>
        <w:t>score</w:t>
      </w:r>
      <w:r w:rsidRPr="00EB0347">
        <w:t>s represent poor outcomes.  This methodology ensures that each component indicator has equal weight in the calculation of the combined indicator, regardless of its scale or variability.</w:t>
      </w:r>
    </w:p>
    <w:p w14:paraId="209BCA0E" w14:textId="77777777" w:rsidR="0097378A" w:rsidRDefault="0097378A" w:rsidP="0097378A"/>
    <w:p w14:paraId="13A32BB8" w14:textId="77777777" w:rsidR="00EB0347" w:rsidRPr="00EB0347" w:rsidRDefault="00B71E2B" w:rsidP="00380C48">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bar>
                <m:barPr>
                  <m:pos m:val="top"/>
                  <m:ctrlPr>
                    <w:rPr>
                      <w:rFonts w:ascii="Cambria Math" w:hAnsi="Cambria Math"/>
                    </w:rPr>
                  </m:ctrlPr>
                </m:barPr>
                <m:e>
                  <m:r>
                    <w:rPr>
                      <w:rFonts w:ascii="Cambria Math" w:hAnsi="Cambria Math"/>
                    </w:rPr>
                    <m:t>x</m:t>
                  </m:r>
                </m:e>
              </m:bar>
            </m:num>
            <m:den>
              <m:r>
                <w:rPr>
                  <w:rFonts w:ascii="Cambria Math" w:hAnsi="Cambria Math"/>
                </w:rPr>
                <m:t>s</m:t>
              </m:r>
            </m:den>
          </m:f>
        </m:oMath>
      </m:oMathPara>
    </w:p>
    <w:p w14:paraId="75D0E0E5" w14:textId="77777777" w:rsidR="00EB0347" w:rsidRPr="00EB0347" w:rsidRDefault="00A8707A" w:rsidP="00A8707A">
      <w:pPr>
        <w:spacing w:before="0" w:after="0" w:line="240" w:lineRule="auto"/>
      </w:pPr>
      <w:r>
        <w:t>w</w:t>
      </w:r>
      <w:r w:rsidR="00EB0347" w:rsidRPr="00EB0347">
        <w:t>here</w:t>
      </w:r>
    </w:p>
    <w:p w14:paraId="6950B417" w14:textId="5B2455B3" w:rsidR="00EB0347" w:rsidRPr="00EB0347" w:rsidRDefault="00B71E2B" w:rsidP="00380C48">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EB0347" w:rsidRPr="00EB0347">
        <w:t xml:space="preserve">    are the individual valid observed LA values</w:t>
      </w:r>
    </w:p>
    <w:p w14:paraId="5819BCC8" w14:textId="1BF89B5B" w:rsidR="00EB0347" w:rsidRPr="00EB0347" w:rsidRDefault="00B71E2B" w:rsidP="00380C48">
      <m:oMath>
        <m:bar>
          <m:barPr>
            <m:pos m:val="top"/>
            <m:ctrlPr>
              <w:rPr>
                <w:rFonts w:ascii="Cambria Math" w:hAnsi="Cambria Math"/>
                <w:i/>
              </w:rPr>
            </m:ctrlPr>
          </m:barPr>
          <m:e>
            <m:r>
              <w:rPr>
                <w:rFonts w:ascii="Cambria Math" w:hAnsi="Cambria Math"/>
              </w:rPr>
              <m:t>x</m:t>
            </m:r>
          </m:e>
        </m:bar>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oMath>
      <w:r w:rsidR="00EB0347" w:rsidRPr="00EB0347">
        <w:t xml:space="preserve">    is the mean of the LA </w:t>
      </w:r>
      <w:proofErr w:type="gramStart"/>
      <w:r w:rsidR="00EB0347" w:rsidRPr="00EB0347">
        <w:t>values</w:t>
      </w:r>
      <w:proofErr w:type="gramEnd"/>
    </w:p>
    <w:p w14:paraId="6E6C2A1B" w14:textId="2B6CB80B" w:rsidR="00EB0347" w:rsidRPr="00EB0347" w:rsidRDefault="00EB0347" w:rsidP="00380C48">
      <m:oMath>
        <m:r>
          <w:rPr>
            <w:rFonts w:ascii="Cambria Math" w:hAnsi="Cambria Math"/>
          </w:rPr>
          <m:t xml:space="preserve">s= </m:t>
        </m:r>
        <m:rad>
          <m:radPr>
            <m:degHide m:val="1"/>
            <m:ctrlPr>
              <w:rPr>
                <w:rFonts w:ascii="Cambria Math" w:hAnsi="Cambria Math"/>
                <w:i/>
              </w:rPr>
            </m:ctrlPr>
          </m:radPr>
          <m:deg/>
          <m:e>
            <m:f>
              <m:fPr>
                <m:ctrlPr>
                  <w:rPr>
                    <w:rFonts w:ascii="Cambria Math" w:hAnsi="Cambria Math"/>
                    <w:i/>
                  </w:rPr>
                </m:ctrlPr>
              </m:fPr>
              <m:num>
                <m:nary>
                  <m:naryPr>
                    <m:chr m:val="∑"/>
                    <m:limLoc m:val="undOvr"/>
                    <m:subHide m:val="1"/>
                    <m:supHide m:val="1"/>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bar>
                              <m:barPr>
                                <m:pos m:val="top"/>
                                <m:ctrlPr>
                                  <w:rPr>
                                    <w:rFonts w:ascii="Cambria Math" w:hAnsi="Cambria Math"/>
                                    <w:i/>
                                  </w:rPr>
                                </m:ctrlPr>
                              </m:barPr>
                              <m:e>
                                <m:r>
                                  <w:rPr>
                                    <w:rFonts w:ascii="Cambria Math" w:hAnsi="Cambria Math"/>
                                  </w:rPr>
                                  <m:t>x</m:t>
                                </m:r>
                              </m:e>
                            </m:bar>
                          </m:e>
                        </m:d>
                      </m:e>
                      <m:sup>
                        <m:r>
                          <w:rPr>
                            <w:rFonts w:ascii="Cambria Math" w:hAnsi="Cambria Math"/>
                          </w:rPr>
                          <m:t>2</m:t>
                        </m:r>
                      </m:sup>
                    </m:sSup>
                  </m:e>
                </m:nary>
              </m:num>
              <m:den>
                <m:r>
                  <w:rPr>
                    <w:rFonts w:ascii="Cambria Math" w:hAnsi="Cambria Math"/>
                  </w:rPr>
                  <m:t>n-1</m:t>
                </m:r>
              </m:den>
            </m:f>
          </m:e>
        </m:rad>
      </m:oMath>
      <w:r w:rsidRPr="00EB0347">
        <w:t xml:space="preserve">    is the </w:t>
      </w:r>
      <w:r w:rsidR="00085A68">
        <w:t xml:space="preserve">sample </w:t>
      </w:r>
      <w:r w:rsidRPr="00EB0347">
        <w:t xml:space="preserve">standard deviation of the LA </w:t>
      </w:r>
      <w:proofErr w:type="gramStart"/>
      <w:r w:rsidRPr="00EB0347">
        <w:t>values</w:t>
      </w:r>
      <w:proofErr w:type="gramEnd"/>
    </w:p>
    <w:p w14:paraId="46984BC3" w14:textId="04DD4A80" w:rsidR="00EB0347" w:rsidRPr="00EB0347" w:rsidRDefault="00EB0347" w:rsidP="00380C48">
      <m:oMath>
        <m:r>
          <w:rPr>
            <w:rFonts w:ascii="Cambria Math" w:hAnsi="Cambria Math"/>
          </w:rPr>
          <m:t>n</m:t>
        </m:r>
      </m:oMath>
      <w:r w:rsidRPr="00EB0347">
        <w:t xml:space="preserve">    is the number of valid LA values – all summations above are from </w:t>
      </w:r>
      <m:oMath>
        <m:r>
          <w:rPr>
            <w:rFonts w:ascii="Cambria Math" w:hAnsi="Cambria Math"/>
          </w:rPr>
          <m:t>i=1 to n</m:t>
        </m:r>
      </m:oMath>
    </w:p>
    <w:p w14:paraId="5B9F5EB7" w14:textId="77777777" w:rsidR="00EB0347" w:rsidRPr="00EB0347" w:rsidRDefault="00EB0347" w:rsidP="00380C48">
      <w:r w:rsidRPr="00EB0347">
        <w:t xml:space="preserve">The combined indicators are calculated as a simple mean of the component indicator </w:t>
      </w:r>
      <w:r w:rsidR="00A00404">
        <w:rPr>
          <w:i/>
        </w:rPr>
        <w:t>z</w:t>
      </w:r>
      <w:r w:rsidRPr="00EB0347">
        <w:noBreakHyphen/>
        <w:t>scores and ranked to give the summary rank indicator.</w:t>
      </w:r>
    </w:p>
    <w:p w14:paraId="0C017B62" w14:textId="77777777" w:rsidR="00301A96" w:rsidRPr="00CC108C" w:rsidRDefault="00301A96" w:rsidP="00380C48">
      <w:pPr>
        <w:pStyle w:val="Heading2"/>
        <w:rPr>
          <w:rFonts w:eastAsiaTheme="minorHAnsi"/>
        </w:rPr>
      </w:pPr>
      <w:r w:rsidRPr="00EB0347">
        <w:rPr>
          <w:rFonts w:eastAsiaTheme="minorEastAsia"/>
        </w:rPr>
        <w:t>Missing data</w:t>
      </w:r>
    </w:p>
    <w:p w14:paraId="2FE71D78" w14:textId="77777777" w:rsidR="00EB0347" w:rsidRPr="00EB0347" w:rsidRDefault="00301A96" w:rsidP="00380C48">
      <w:r w:rsidRPr="00EB0347">
        <w:t xml:space="preserve">Where, for any </w:t>
      </w:r>
      <w:r w:rsidR="00CC108C" w:rsidRPr="00EB0347">
        <w:t>LA, a valid indicator value for any component indicator</w:t>
      </w:r>
      <w:r w:rsidR="00CC108C">
        <w:t xml:space="preserve"> is not available, the combined </w:t>
      </w:r>
      <w:r w:rsidR="00EB0347" w:rsidRPr="00EB0347">
        <w:t xml:space="preserve">indicator is not calculated for that LA, but values for the other component indicators are made available.  The </w:t>
      </w:r>
      <w:r w:rsidR="00A00404">
        <w:rPr>
          <w:i/>
        </w:rPr>
        <w:t>z</w:t>
      </w:r>
      <w:r w:rsidR="00EB0347" w:rsidRPr="00EB0347">
        <w:noBreakHyphen/>
        <w:t>scores for each component indicator are calculated using all LAs that have a valid value for that indicator.</w:t>
      </w:r>
    </w:p>
    <w:p w14:paraId="50624747" w14:textId="77777777" w:rsidR="00EB0347" w:rsidRPr="00EB0347" w:rsidRDefault="00EB0347" w:rsidP="00380C48">
      <w:pPr>
        <w:pStyle w:val="Heading2"/>
        <w:rPr>
          <w:rFonts w:eastAsiaTheme="minorEastAsia"/>
        </w:rPr>
      </w:pPr>
      <w:r w:rsidRPr="00EB0347">
        <w:rPr>
          <w:rFonts w:eastAsiaTheme="minorEastAsia"/>
        </w:rPr>
        <w:t>Allocation to categories</w:t>
      </w:r>
    </w:p>
    <w:p w14:paraId="655561F5" w14:textId="5BB6A932" w:rsidR="00EB0347" w:rsidRDefault="00EB0347" w:rsidP="00380C48">
      <w:r w:rsidRPr="00EB0347">
        <w:t>The combined indicators are ranked from 1 to 15</w:t>
      </w:r>
      <w:r w:rsidR="00840C9F">
        <w:t>1</w:t>
      </w:r>
      <w:r w:rsidR="00A00404" w:rsidRPr="00EB0347">
        <w:rPr>
          <w:rFonts w:eastAsiaTheme="minorEastAsia"/>
          <w:vertAlign w:val="superscript"/>
        </w:rPr>
        <w:footnoteReference w:id="2"/>
      </w:r>
      <w:r w:rsidRPr="00EB0347">
        <w:t xml:space="preserve"> with 1 being the ‘best’ value for the component indicator.  These summary ranks are presented in the Public Health Dashboard tool.  The </w:t>
      </w:r>
      <w:r w:rsidRPr="00EB0347">
        <w:rPr>
          <w:i/>
        </w:rPr>
        <w:t>z</w:t>
      </w:r>
      <w:r w:rsidRPr="00EB0347">
        <w:t xml:space="preserve">-scores and average </w:t>
      </w:r>
      <w:r w:rsidRPr="00EB0347">
        <w:rPr>
          <w:i/>
        </w:rPr>
        <w:t>z</w:t>
      </w:r>
      <w:r w:rsidRPr="00EB0347">
        <w:t>-scores used in the calculation are not published as they are abstract numbers that don’t have an obvious interpretation.</w:t>
      </w:r>
    </w:p>
    <w:p w14:paraId="30047614" w14:textId="55B13D0C" w:rsidR="00DC5678" w:rsidRDefault="00DC5678" w:rsidP="00380C48"/>
    <w:p w14:paraId="0B7FD19A" w14:textId="3D20D07C" w:rsidR="00DC5678" w:rsidRDefault="00DC5678" w:rsidP="00380C48"/>
    <w:p w14:paraId="2EEAEAA9" w14:textId="33C9F1E7" w:rsidR="00DC5678" w:rsidRDefault="00DC5678" w:rsidP="00380C48"/>
    <w:p w14:paraId="179BD4D0" w14:textId="77777777" w:rsidR="00A8707A" w:rsidRPr="00EB0347" w:rsidRDefault="00EB0347" w:rsidP="00A8707A">
      <w:pPr>
        <w:spacing w:after="240"/>
      </w:pPr>
      <w:r w:rsidRPr="00EB0347">
        <w:lastRenderedPageBreak/>
        <w:t>For presentation, the summary rank indicator values for all LAs are allocated to quartiles and labelled as follows:</w:t>
      </w:r>
    </w:p>
    <w:tbl>
      <w:tblPr>
        <w:tblStyle w:val="TableGrid1"/>
        <w:tblW w:w="8484" w:type="dxa"/>
        <w:jc w:val="center"/>
        <w:tblCellMar>
          <w:top w:w="57" w:type="dxa"/>
          <w:bottom w:w="57" w:type="dxa"/>
        </w:tblCellMar>
        <w:tblLook w:val="04A0" w:firstRow="1" w:lastRow="0" w:firstColumn="1" w:lastColumn="0" w:noHBand="0" w:noVBand="1"/>
      </w:tblPr>
      <w:tblGrid>
        <w:gridCol w:w="1446"/>
        <w:gridCol w:w="3678"/>
        <w:gridCol w:w="3360"/>
      </w:tblGrid>
      <w:tr w:rsidR="00EB0347" w:rsidRPr="00EB0347" w14:paraId="65C7815B" w14:textId="77777777" w:rsidTr="00A00404">
        <w:trPr>
          <w:jc w:val="center"/>
        </w:trPr>
        <w:tc>
          <w:tcPr>
            <w:tcW w:w="1446" w:type="dxa"/>
            <w:shd w:val="clear" w:color="auto" w:fill="auto"/>
          </w:tcPr>
          <w:p w14:paraId="503FFD1D" w14:textId="77777777" w:rsidR="00EB0347" w:rsidRPr="00380C48" w:rsidRDefault="00EB0347" w:rsidP="00380C48">
            <w:pPr>
              <w:spacing w:before="0" w:after="0"/>
              <w:rPr>
                <w:b/>
              </w:rPr>
            </w:pPr>
            <w:r w:rsidRPr="00380C48">
              <w:rPr>
                <w:b/>
              </w:rPr>
              <w:t>Group</w:t>
            </w:r>
          </w:p>
        </w:tc>
        <w:tc>
          <w:tcPr>
            <w:tcW w:w="3678" w:type="dxa"/>
            <w:shd w:val="clear" w:color="auto" w:fill="auto"/>
          </w:tcPr>
          <w:p w14:paraId="41DE1B4D" w14:textId="77777777" w:rsidR="00EB0347" w:rsidRPr="00380C48" w:rsidRDefault="00EB0347" w:rsidP="00380C48">
            <w:pPr>
              <w:spacing w:before="0" w:after="0"/>
              <w:rPr>
                <w:b/>
              </w:rPr>
            </w:pPr>
            <w:r w:rsidRPr="00380C48">
              <w:rPr>
                <w:b/>
              </w:rPr>
              <w:t>Definition</w:t>
            </w:r>
          </w:p>
        </w:tc>
        <w:tc>
          <w:tcPr>
            <w:tcW w:w="3360" w:type="dxa"/>
            <w:shd w:val="clear" w:color="auto" w:fill="auto"/>
          </w:tcPr>
          <w:p w14:paraId="00CA23AE" w14:textId="77777777" w:rsidR="00EB0347" w:rsidRPr="00380C48" w:rsidRDefault="00EB0347" w:rsidP="00380C48">
            <w:pPr>
              <w:spacing w:before="0" w:after="0"/>
              <w:rPr>
                <w:b/>
              </w:rPr>
            </w:pPr>
            <w:r w:rsidRPr="00380C48">
              <w:rPr>
                <w:b/>
              </w:rPr>
              <w:t>Label</w:t>
            </w:r>
          </w:p>
        </w:tc>
      </w:tr>
      <w:tr w:rsidR="00EB0347" w:rsidRPr="00EB0347" w14:paraId="36A23DBD" w14:textId="77777777" w:rsidTr="00A00404">
        <w:trPr>
          <w:jc w:val="center"/>
        </w:trPr>
        <w:tc>
          <w:tcPr>
            <w:tcW w:w="1446" w:type="dxa"/>
          </w:tcPr>
          <w:p w14:paraId="31BA7446" w14:textId="77777777" w:rsidR="00EB0347" w:rsidRPr="00EB0347" w:rsidRDefault="00EB0347" w:rsidP="00380C48">
            <w:pPr>
              <w:spacing w:before="0" w:after="0"/>
            </w:pPr>
            <w:r w:rsidRPr="00EB0347">
              <w:t>1</w:t>
            </w:r>
            <w:r w:rsidRPr="00EB0347">
              <w:rPr>
                <w:vertAlign w:val="superscript"/>
              </w:rPr>
              <w:t>st</w:t>
            </w:r>
            <w:r w:rsidRPr="00EB0347">
              <w:t xml:space="preserve"> quartile</w:t>
            </w:r>
          </w:p>
        </w:tc>
        <w:tc>
          <w:tcPr>
            <w:tcW w:w="3678" w:type="dxa"/>
          </w:tcPr>
          <w:p w14:paraId="590B7C2B" w14:textId="77777777" w:rsidR="00EB0347" w:rsidRPr="00EB0347" w:rsidRDefault="00194B8B" w:rsidP="00380C48">
            <w:pPr>
              <w:spacing w:before="0" w:after="0"/>
            </w:pPr>
            <w:r>
              <w:t>Lowest</w:t>
            </w:r>
            <w:r w:rsidR="00EB0347" w:rsidRPr="00EB0347">
              <w:t xml:space="preserve"> 25% of LAs</w:t>
            </w:r>
            <w:r>
              <w:t xml:space="preserve"> (low rank is good)</w:t>
            </w:r>
          </w:p>
        </w:tc>
        <w:tc>
          <w:tcPr>
            <w:tcW w:w="3360" w:type="dxa"/>
          </w:tcPr>
          <w:p w14:paraId="28A75630" w14:textId="77777777" w:rsidR="00EB0347" w:rsidRPr="00EB0347" w:rsidRDefault="00536FD5" w:rsidP="00380C48">
            <w:pPr>
              <w:spacing w:before="0" w:after="0"/>
            </w:pPr>
            <w:r>
              <w:t>Best</w:t>
            </w:r>
          </w:p>
        </w:tc>
      </w:tr>
      <w:tr w:rsidR="00536FD5" w:rsidRPr="00EB0347" w14:paraId="7DEC23D5" w14:textId="77777777" w:rsidTr="00A00404">
        <w:trPr>
          <w:jc w:val="center"/>
        </w:trPr>
        <w:tc>
          <w:tcPr>
            <w:tcW w:w="1446" w:type="dxa"/>
          </w:tcPr>
          <w:p w14:paraId="09274E62" w14:textId="77777777" w:rsidR="00536FD5" w:rsidRPr="00EB0347" w:rsidRDefault="00536FD5" w:rsidP="00536FD5">
            <w:pPr>
              <w:spacing w:before="0" w:after="0"/>
            </w:pPr>
            <w:r w:rsidRPr="00EB0347">
              <w:t>2</w:t>
            </w:r>
            <w:r w:rsidRPr="00EB0347">
              <w:rPr>
                <w:vertAlign w:val="superscript"/>
              </w:rPr>
              <w:t>nd</w:t>
            </w:r>
            <w:r w:rsidRPr="00EB0347">
              <w:t xml:space="preserve"> quartile</w:t>
            </w:r>
          </w:p>
        </w:tc>
        <w:tc>
          <w:tcPr>
            <w:tcW w:w="3678" w:type="dxa"/>
          </w:tcPr>
          <w:p w14:paraId="43F6CD75" w14:textId="77777777" w:rsidR="00536FD5" w:rsidRPr="00EB0347" w:rsidRDefault="00536FD5" w:rsidP="00536FD5">
            <w:pPr>
              <w:spacing w:before="0" w:after="0"/>
            </w:pPr>
            <w:r w:rsidRPr="00EB0347">
              <w:t>LAs with values that lie between 25% and 50% in the rankings</w:t>
            </w:r>
          </w:p>
        </w:tc>
        <w:tc>
          <w:tcPr>
            <w:tcW w:w="3360" w:type="dxa"/>
          </w:tcPr>
          <w:p w14:paraId="6E34E2C2" w14:textId="77777777" w:rsidR="00536FD5" w:rsidRPr="00EB0347" w:rsidRDefault="00536FD5" w:rsidP="00536FD5">
            <w:pPr>
              <w:spacing w:before="0" w:after="0"/>
            </w:pPr>
            <w:r>
              <w:t>Better than average rank</w:t>
            </w:r>
          </w:p>
        </w:tc>
      </w:tr>
      <w:tr w:rsidR="00536FD5" w:rsidRPr="00EB0347" w14:paraId="144E3F4F" w14:textId="77777777" w:rsidTr="00A00404">
        <w:trPr>
          <w:jc w:val="center"/>
        </w:trPr>
        <w:tc>
          <w:tcPr>
            <w:tcW w:w="1446" w:type="dxa"/>
          </w:tcPr>
          <w:p w14:paraId="6727B037" w14:textId="77777777" w:rsidR="00536FD5" w:rsidRPr="00EB0347" w:rsidRDefault="00536FD5" w:rsidP="00536FD5">
            <w:pPr>
              <w:spacing w:before="0" w:after="0"/>
            </w:pPr>
            <w:r w:rsidRPr="00EB0347">
              <w:t>3</w:t>
            </w:r>
            <w:r w:rsidRPr="00EB0347">
              <w:rPr>
                <w:vertAlign w:val="superscript"/>
              </w:rPr>
              <w:t>rd</w:t>
            </w:r>
            <w:r w:rsidRPr="00EB0347">
              <w:t xml:space="preserve"> quartile</w:t>
            </w:r>
          </w:p>
        </w:tc>
        <w:tc>
          <w:tcPr>
            <w:tcW w:w="3678" w:type="dxa"/>
          </w:tcPr>
          <w:p w14:paraId="78A02856" w14:textId="77777777" w:rsidR="00536FD5" w:rsidRPr="00EB0347" w:rsidRDefault="00536FD5" w:rsidP="00536FD5">
            <w:pPr>
              <w:spacing w:before="0" w:after="0"/>
            </w:pPr>
            <w:r w:rsidRPr="00EB0347">
              <w:t>LAs with values that lie between 50% and 75% in the rankings</w:t>
            </w:r>
          </w:p>
        </w:tc>
        <w:tc>
          <w:tcPr>
            <w:tcW w:w="3360" w:type="dxa"/>
          </w:tcPr>
          <w:p w14:paraId="33385CD6" w14:textId="77777777" w:rsidR="00536FD5" w:rsidRPr="00EB0347" w:rsidRDefault="00536FD5" w:rsidP="00536FD5">
            <w:pPr>
              <w:spacing w:before="0" w:after="0"/>
            </w:pPr>
            <w:r>
              <w:t>Worse than average rank</w:t>
            </w:r>
          </w:p>
        </w:tc>
      </w:tr>
      <w:tr w:rsidR="00536FD5" w:rsidRPr="00EB0347" w14:paraId="0B162ECB" w14:textId="77777777" w:rsidTr="00A00404">
        <w:trPr>
          <w:jc w:val="center"/>
        </w:trPr>
        <w:tc>
          <w:tcPr>
            <w:tcW w:w="1446" w:type="dxa"/>
          </w:tcPr>
          <w:p w14:paraId="18DF6AB4" w14:textId="77777777" w:rsidR="00536FD5" w:rsidRPr="00EB0347" w:rsidRDefault="00536FD5" w:rsidP="00536FD5">
            <w:pPr>
              <w:spacing w:before="0" w:after="0"/>
            </w:pPr>
            <w:r w:rsidRPr="00EB0347">
              <w:t>4</w:t>
            </w:r>
            <w:r w:rsidRPr="00EB0347">
              <w:rPr>
                <w:vertAlign w:val="superscript"/>
              </w:rPr>
              <w:t>th</w:t>
            </w:r>
            <w:r w:rsidRPr="00EB0347">
              <w:t xml:space="preserve"> quartile</w:t>
            </w:r>
          </w:p>
        </w:tc>
        <w:tc>
          <w:tcPr>
            <w:tcW w:w="3678" w:type="dxa"/>
          </w:tcPr>
          <w:p w14:paraId="4E0D4D49" w14:textId="77777777" w:rsidR="00536FD5" w:rsidRPr="00EB0347" w:rsidRDefault="00536FD5" w:rsidP="00536FD5">
            <w:pPr>
              <w:spacing w:before="0" w:after="0"/>
            </w:pPr>
            <w:r>
              <w:t xml:space="preserve">Highest </w:t>
            </w:r>
            <w:r w:rsidRPr="00EB0347">
              <w:t>25% of LAs</w:t>
            </w:r>
          </w:p>
        </w:tc>
        <w:tc>
          <w:tcPr>
            <w:tcW w:w="3360" w:type="dxa"/>
          </w:tcPr>
          <w:p w14:paraId="6F5AD7D0" w14:textId="77777777" w:rsidR="00536FD5" w:rsidRPr="00EB0347" w:rsidRDefault="00536FD5" w:rsidP="00536FD5">
            <w:pPr>
              <w:spacing w:before="0" w:after="0"/>
            </w:pPr>
            <w:r>
              <w:t>Worst</w:t>
            </w:r>
          </w:p>
        </w:tc>
      </w:tr>
    </w:tbl>
    <w:p w14:paraId="07BEADE1" w14:textId="77777777" w:rsidR="00D01055" w:rsidRDefault="00D01055" w:rsidP="00380C48"/>
    <w:p w14:paraId="44CB539F" w14:textId="77777777" w:rsidR="00316CD3" w:rsidRDefault="00FB7B6E" w:rsidP="00380C48">
      <w:r>
        <w:t>Quartile boundary ranks</w:t>
      </w:r>
      <w:r w:rsidR="000257C6">
        <w:t xml:space="preserve"> (</w:t>
      </w:r>
      <w:r w:rsidR="000257C6" w:rsidRPr="000257C6">
        <w:rPr>
          <w:i/>
        </w:rPr>
        <w:t>Q1</w:t>
      </w:r>
      <w:r w:rsidR="000257C6">
        <w:t xml:space="preserve">, </w:t>
      </w:r>
      <w:r>
        <w:rPr>
          <w:i/>
        </w:rPr>
        <w:t>Q2</w:t>
      </w:r>
      <w:r w:rsidR="000257C6">
        <w:t xml:space="preserve"> and </w:t>
      </w:r>
      <w:r w:rsidR="000257C6" w:rsidRPr="000257C6">
        <w:rPr>
          <w:i/>
        </w:rPr>
        <w:t>Q3</w:t>
      </w:r>
      <w:r w:rsidR="000257C6">
        <w:t>)</w:t>
      </w:r>
      <w:r w:rsidR="00316CD3">
        <w:t xml:space="preserve"> are calculated as follows:</w:t>
      </w:r>
    </w:p>
    <w:p w14:paraId="4753E695" w14:textId="77777777" w:rsidR="000257C6" w:rsidRPr="000257C6" w:rsidRDefault="000257C6" w:rsidP="00380C48">
      <w:pPr>
        <w:rPr>
          <w:rFonts w:eastAsiaTheme="minorEastAsia"/>
        </w:rPr>
      </w:pPr>
      <m:oMathPara>
        <m:oMathParaPr>
          <m:jc m:val="center"/>
        </m:oMathParaPr>
        <m:oMath>
          <m:r>
            <w:rPr>
              <w:rFonts w:ascii="Cambria Math" w:eastAsiaTheme="minorEastAsia" w:hAnsi="Cambria Math"/>
            </w:rPr>
            <m:t>Q</m:t>
          </m:r>
          <m:r>
            <m:rPr>
              <m:sty m:val="p"/>
            </m:rPr>
            <w:rPr>
              <w:rFonts w:ascii="Cambria Math" w:eastAsiaTheme="minorEastAsia" w:hAnsi="Cambria Math"/>
            </w:rPr>
            <m:t xml:space="preserve">1= </m:t>
          </m:r>
          <m:f>
            <m:fPr>
              <m:ctrlPr>
                <w:rPr>
                  <w:rFonts w:ascii="Cambria Math" w:hAnsi="Cambria Math"/>
                </w:rPr>
              </m:ctrlPr>
            </m:fPr>
            <m:num>
              <m:r>
                <w:rPr>
                  <w:rFonts w:ascii="Cambria Math" w:hAnsi="Cambria Math"/>
                </w:rPr>
                <m:t>n</m:t>
              </m:r>
              <m:r>
                <m:rPr>
                  <m:sty m:val="p"/>
                </m:rPr>
                <w:rPr>
                  <w:rFonts w:ascii="Cambria Math" w:hAnsi="Cambria Math"/>
                </w:rPr>
                <m:t>+3</m:t>
              </m:r>
            </m:num>
            <m:den>
              <m:r>
                <m:rPr>
                  <m:sty m:val="p"/>
                </m:rPr>
                <w:rPr>
                  <w:rFonts w:ascii="Cambria Math" w:hAnsi="Cambria Math"/>
                </w:rPr>
                <m:t>4</m:t>
              </m:r>
            </m:den>
          </m:f>
          <m:r>
            <w:rPr>
              <w:rFonts w:ascii="Cambria Math" w:hAnsi="Cambria Math"/>
            </w:rPr>
            <m:t xml:space="preserve">                       Q</m:t>
          </m:r>
          <m:r>
            <m:rPr>
              <m:sty m:val="p"/>
            </m:rPr>
            <w:rPr>
              <w:rFonts w:ascii="Cambria Math" w:hAnsi="Cambria Math"/>
            </w:rPr>
            <m:t xml:space="preserve">2= </m:t>
          </m:r>
          <m:f>
            <m:fPr>
              <m:ctrlPr>
                <w:rPr>
                  <w:rFonts w:ascii="Cambria Math" w:hAnsi="Cambria Math"/>
                </w:rPr>
              </m:ctrlPr>
            </m:fPr>
            <m:num>
              <m:r>
                <w:rPr>
                  <w:rFonts w:ascii="Cambria Math" w:hAnsi="Cambria Math"/>
                </w:rPr>
                <m:t>n</m:t>
              </m:r>
              <m:r>
                <m:rPr>
                  <m:sty m:val="p"/>
                </m:rPr>
                <w:rPr>
                  <w:rFonts w:ascii="Cambria Math" w:hAnsi="Cambria Math"/>
                </w:rPr>
                <m:t>+1</m:t>
              </m:r>
            </m:num>
            <m:den>
              <m:r>
                <m:rPr>
                  <m:sty m:val="p"/>
                </m:rPr>
                <w:rPr>
                  <w:rFonts w:ascii="Cambria Math" w:hAnsi="Cambria Math"/>
                </w:rPr>
                <m:t>2</m:t>
              </m:r>
            </m:den>
          </m:f>
          <m:r>
            <w:rPr>
              <w:rFonts w:ascii="Cambria Math" w:hAnsi="Cambria Math"/>
            </w:rPr>
            <m:t xml:space="preserve">                       Q</m:t>
          </m:r>
          <m:r>
            <m:rPr>
              <m:sty m:val="p"/>
            </m:rPr>
            <w:rPr>
              <w:rFonts w:ascii="Cambria Math" w:hAnsi="Cambria Math"/>
            </w:rPr>
            <m:t>3=</m:t>
          </m:r>
          <m:f>
            <m:fPr>
              <m:ctrlPr>
                <w:rPr>
                  <w:rFonts w:ascii="Cambria Math" w:hAnsi="Cambria Math"/>
                </w:rPr>
              </m:ctrlPr>
            </m:fPr>
            <m:num>
              <m:r>
                <m:rPr>
                  <m:sty m:val="p"/>
                </m:rPr>
                <w:rPr>
                  <w:rFonts w:ascii="Cambria Math" w:hAnsi="Cambria Math"/>
                </w:rPr>
                <m:t>3</m:t>
              </m:r>
              <m:r>
                <w:rPr>
                  <w:rFonts w:ascii="Cambria Math" w:hAnsi="Cambria Math"/>
                </w:rPr>
                <m:t>n</m:t>
              </m:r>
              <m:r>
                <m:rPr>
                  <m:sty m:val="p"/>
                </m:rPr>
                <w:rPr>
                  <w:rFonts w:ascii="Cambria Math" w:hAnsi="Cambria Math"/>
                </w:rPr>
                <m:t>+1</m:t>
              </m:r>
            </m:num>
            <m:den>
              <m:r>
                <m:rPr>
                  <m:sty m:val="p"/>
                </m:rPr>
                <w:rPr>
                  <w:rFonts w:ascii="Cambria Math" w:hAnsi="Cambria Math"/>
                </w:rPr>
                <m:t>4</m:t>
              </m:r>
            </m:den>
          </m:f>
        </m:oMath>
      </m:oMathPara>
    </w:p>
    <w:p w14:paraId="78C1CA93" w14:textId="77777777" w:rsidR="000257C6" w:rsidRPr="00EB0347" w:rsidRDefault="00A8707A" w:rsidP="00380C48">
      <w:r>
        <w:t>w</w:t>
      </w:r>
      <w:r w:rsidR="000257C6" w:rsidRPr="00EB0347">
        <w:t>here</w:t>
      </w:r>
    </w:p>
    <w:p w14:paraId="3D85718C" w14:textId="77777777" w:rsidR="000257C6" w:rsidRDefault="000257C6" w:rsidP="00380C48">
      <m:oMath>
        <m:r>
          <w:rPr>
            <w:rFonts w:ascii="Cambria Math" w:hAnsi="Cambria Math"/>
          </w:rPr>
          <m:t>n</m:t>
        </m:r>
      </m:oMath>
      <w:r w:rsidRPr="00EB0347">
        <w:t xml:space="preserve">    </w:t>
      </w:r>
      <w:r>
        <w:t>is the number of valid LA values</w:t>
      </w:r>
    </w:p>
    <w:p w14:paraId="4361E359" w14:textId="77777777" w:rsidR="00971A3F" w:rsidRPr="00971A3F" w:rsidRDefault="00971A3F" w:rsidP="00380C48">
      <w:r>
        <w:t xml:space="preserve">LAs with a rank less than or equal to </w:t>
      </w:r>
      <w:r>
        <w:rPr>
          <w:i/>
        </w:rPr>
        <w:t>Q1</w:t>
      </w:r>
      <w:r>
        <w:t xml:space="preserve"> are in the 1</w:t>
      </w:r>
      <w:r w:rsidRPr="00971A3F">
        <w:rPr>
          <w:vertAlign w:val="superscript"/>
        </w:rPr>
        <w:t>st</w:t>
      </w:r>
      <w:r>
        <w:t xml:space="preserve"> Quartile, those with ranks greater than </w:t>
      </w:r>
      <w:r>
        <w:rPr>
          <w:i/>
        </w:rPr>
        <w:t>Q1</w:t>
      </w:r>
      <w:r>
        <w:t xml:space="preserve"> and less than or equal to </w:t>
      </w:r>
      <w:r>
        <w:rPr>
          <w:i/>
        </w:rPr>
        <w:t>Q2</w:t>
      </w:r>
      <w:r>
        <w:t xml:space="preserve"> are in the second quartile, those with ranks greater than </w:t>
      </w:r>
      <w:r w:rsidRPr="00971A3F">
        <w:rPr>
          <w:i/>
        </w:rPr>
        <w:t>Q2</w:t>
      </w:r>
      <w:r>
        <w:t xml:space="preserve"> and less than or equal to </w:t>
      </w:r>
      <w:r w:rsidRPr="00971A3F">
        <w:rPr>
          <w:i/>
        </w:rPr>
        <w:t>Q3</w:t>
      </w:r>
      <w:r>
        <w:t xml:space="preserve"> are in the third quartile and those with ranks greater than </w:t>
      </w:r>
      <w:r w:rsidRPr="00971A3F">
        <w:rPr>
          <w:i/>
        </w:rPr>
        <w:t>Q3</w:t>
      </w:r>
      <w:r>
        <w:t xml:space="preserve"> are in the fourth quartile.</w:t>
      </w:r>
    </w:p>
    <w:p w14:paraId="1D5B9EDB" w14:textId="77777777" w:rsidR="00316CD3" w:rsidRDefault="000257C6" w:rsidP="00A8707A">
      <w:pPr>
        <w:spacing w:after="240"/>
      </w:pPr>
      <w:r>
        <w:t>In cases w</w:t>
      </w:r>
      <w:r w:rsidR="00316CD3">
        <w:t>here the number of valid LA values is exactly divisible by 4, each group will contain exactly a quarter of the LAs.  Where the number of valid LA values is not exactl</w:t>
      </w:r>
      <w:r>
        <w:t>y divisible by 4, the</w:t>
      </w:r>
      <w:r w:rsidR="00316CD3">
        <w:t xml:space="preserve"> ‘extra’ LAs are allocated as follows:</w:t>
      </w:r>
    </w:p>
    <w:tbl>
      <w:tblPr>
        <w:tblStyle w:val="TableGrid"/>
        <w:tblW w:w="0" w:type="auto"/>
        <w:jc w:val="center"/>
        <w:tblCellMar>
          <w:top w:w="57" w:type="dxa"/>
          <w:bottom w:w="57" w:type="dxa"/>
        </w:tblCellMar>
        <w:tblLook w:val="04A0" w:firstRow="1" w:lastRow="0" w:firstColumn="1" w:lastColumn="0" w:noHBand="0" w:noVBand="1"/>
      </w:tblPr>
      <w:tblGrid>
        <w:gridCol w:w="2947"/>
        <w:gridCol w:w="5040"/>
      </w:tblGrid>
      <w:tr w:rsidR="00316CD3" w14:paraId="6EBF18F3" w14:textId="77777777" w:rsidTr="00316CD3">
        <w:trPr>
          <w:jc w:val="center"/>
        </w:trPr>
        <w:tc>
          <w:tcPr>
            <w:tcW w:w="2947" w:type="dxa"/>
          </w:tcPr>
          <w:p w14:paraId="5EEA0303" w14:textId="77777777" w:rsidR="00316CD3" w:rsidRDefault="00316CD3" w:rsidP="00380C48">
            <w:pPr>
              <w:spacing w:before="0" w:after="0"/>
            </w:pPr>
            <w:r>
              <w:t>1 extra LA value</w:t>
            </w:r>
          </w:p>
        </w:tc>
        <w:tc>
          <w:tcPr>
            <w:tcW w:w="5040" w:type="dxa"/>
          </w:tcPr>
          <w:p w14:paraId="5282608E" w14:textId="77777777" w:rsidR="00316CD3" w:rsidRDefault="00316CD3" w:rsidP="00380C48">
            <w:pPr>
              <w:spacing w:before="0" w:after="0"/>
            </w:pPr>
            <w:r>
              <w:t>Extra LA in 1</w:t>
            </w:r>
            <w:r w:rsidRPr="00316CD3">
              <w:rPr>
                <w:vertAlign w:val="superscript"/>
              </w:rPr>
              <w:t>st</w:t>
            </w:r>
            <w:r>
              <w:t xml:space="preserve"> quartile</w:t>
            </w:r>
          </w:p>
        </w:tc>
      </w:tr>
      <w:tr w:rsidR="00316CD3" w14:paraId="0D76CA67" w14:textId="77777777" w:rsidTr="00316CD3">
        <w:trPr>
          <w:jc w:val="center"/>
        </w:trPr>
        <w:tc>
          <w:tcPr>
            <w:tcW w:w="2947" w:type="dxa"/>
          </w:tcPr>
          <w:p w14:paraId="342D1BAA" w14:textId="77777777" w:rsidR="00316CD3" w:rsidRDefault="00316CD3" w:rsidP="00380C48">
            <w:pPr>
              <w:spacing w:before="0" w:after="0"/>
            </w:pPr>
            <w:r>
              <w:t>2 extra LA values</w:t>
            </w:r>
          </w:p>
        </w:tc>
        <w:tc>
          <w:tcPr>
            <w:tcW w:w="5040" w:type="dxa"/>
          </w:tcPr>
          <w:p w14:paraId="418B0620" w14:textId="77777777" w:rsidR="00316CD3" w:rsidRDefault="00316CD3" w:rsidP="00380C48">
            <w:pPr>
              <w:spacing w:before="0" w:after="0"/>
            </w:pPr>
            <w:r>
              <w:t>Extra LAs in 1</w:t>
            </w:r>
            <w:r w:rsidRPr="00316CD3">
              <w:rPr>
                <w:vertAlign w:val="superscript"/>
              </w:rPr>
              <w:t>st</w:t>
            </w:r>
            <w:r>
              <w:t xml:space="preserve"> and 4</w:t>
            </w:r>
            <w:r w:rsidRPr="00316CD3">
              <w:rPr>
                <w:vertAlign w:val="superscript"/>
              </w:rPr>
              <w:t>th</w:t>
            </w:r>
            <w:r>
              <w:t xml:space="preserve"> quartiles</w:t>
            </w:r>
          </w:p>
        </w:tc>
      </w:tr>
      <w:tr w:rsidR="00316CD3" w14:paraId="3EB76C64" w14:textId="77777777" w:rsidTr="00316CD3">
        <w:trPr>
          <w:jc w:val="center"/>
        </w:trPr>
        <w:tc>
          <w:tcPr>
            <w:tcW w:w="2947" w:type="dxa"/>
          </w:tcPr>
          <w:p w14:paraId="213F7D8E" w14:textId="77777777" w:rsidR="00316CD3" w:rsidRDefault="00316CD3" w:rsidP="00380C48">
            <w:pPr>
              <w:spacing w:before="0" w:after="0"/>
            </w:pPr>
            <w:r>
              <w:t>3 extra LA values</w:t>
            </w:r>
          </w:p>
        </w:tc>
        <w:tc>
          <w:tcPr>
            <w:tcW w:w="5040" w:type="dxa"/>
          </w:tcPr>
          <w:p w14:paraId="1BC0638A" w14:textId="77777777" w:rsidR="00316CD3" w:rsidRDefault="00316CD3" w:rsidP="00380C48">
            <w:pPr>
              <w:spacing w:before="0" w:after="0"/>
            </w:pPr>
            <w:r>
              <w:t>Extra LAs in 1</w:t>
            </w:r>
            <w:r w:rsidRPr="00316CD3">
              <w:rPr>
                <w:vertAlign w:val="superscript"/>
              </w:rPr>
              <w:t>st</w:t>
            </w:r>
            <w:r>
              <w:t>, 2</w:t>
            </w:r>
            <w:r w:rsidRPr="00316CD3">
              <w:rPr>
                <w:vertAlign w:val="superscript"/>
              </w:rPr>
              <w:t>nd</w:t>
            </w:r>
            <w:r>
              <w:t xml:space="preserve"> and 4</w:t>
            </w:r>
            <w:r w:rsidRPr="00316CD3">
              <w:rPr>
                <w:vertAlign w:val="superscript"/>
              </w:rPr>
              <w:t>th</w:t>
            </w:r>
            <w:r>
              <w:t xml:space="preserve"> quartiles</w:t>
            </w:r>
          </w:p>
        </w:tc>
      </w:tr>
    </w:tbl>
    <w:p w14:paraId="1DC60834" w14:textId="77777777" w:rsidR="00EB0347" w:rsidRPr="00EB0347" w:rsidRDefault="00EB0347" w:rsidP="00A8707A">
      <w:pPr>
        <w:spacing w:before="240"/>
      </w:pPr>
      <w:r w:rsidRPr="00EB0347">
        <w:t>The component indicators are presented using RAG (red-amber-green) ratings</w:t>
      </w:r>
      <w:r w:rsidR="00FA23B3">
        <w:rPr>
          <w:rStyle w:val="FootnoteReference"/>
        </w:rPr>
        <w:footnoteReference w:id="3"/>
      </w:r>
      <w:r w:rsidRPr="00EB0347">
        <w:t xml:space="preserve"> based on statistical significance against the national comparator value, as in other PHE Fingertips products.</w:t>
      </w:r>
    </w:p>
    <w:p w14:paraId="51357E7E" w14:textId="77777777" w:rsidR="00EB0347" w:rsidRDefault="00EB0347" w:rsidP="00380C48">
      <w:r w:rsidRPr="00EB0347">
        <w:lastRenderedPageBreak/>
        <w:t xml:space="preserve">The unitary authorities of </w:t>
      </w:r>
      <w:r w:rsidR="00310DC5">
        <w:t xml:space="preserve">Leicestershire and Rutland, </w:t>
      </w:r>
      <w:r w:rsidRPr="00EB0347">
        <w:t xml:space="preserve">Cornwall and Isles of Scilly, and the London boroughs of City of London and Hackney, are combined where data are not available for either of them individually.  Combined data are used as proxies for </w:t>
      </w:r>
      <w:r w:rsidR="00310DC5">
        <w:t xml:space="preserve">Leicestershire, </w:t>
      </w:r>
      <w:r w:rsidRPr="00EB0347">
        <w:t xml:space="preserve">Cornwall and Hackney respectively, but data are only presented for </w:t>
      </w:r>
      <w:r w:rsidR="00310DC5">
        <w:t xml:space="preserve">Rutland, </w:t>
      </w:r>
      <w:r w:rsidRPr="00EB0347">
        <w:t>Isles of Scilly and/or City of London where specific values for those LAs are available.</w:t>
      </w:r>
    </w:p>
    <w:p w14:paraId="0C428C2E" w14:textId="77777777" w:rsidR="00301A96" w:rsidRPr="00EB0347" w:rsidRDefault="00301A96" w:rsidP="00380C48">
      <w:pPr>
        <w:pStyle w:val="Heading2"/>
        <w:rPr>
          <w:rFonts w:eastAsiaTheme="minorEastAsia"/>
        </w:rPr>
      </w:pPr>
      <w:r>
        <w:rPr>
          <w:rFonts w:eastAsiaTheme="minorEastAsia"/>
        </w:rPr>
        <w:t>Comparison with similar local authorities</w:t>
      </w:r>
    </w:p>
    <w:p w14:paraId="70088378" w14:textId="560246EC" w:rsidR="0097378A" w:rsidRDefault="00301A96" w:rsidP="00380C48">
      <w:r>
        <w:t>LAs’ values for the summary ranks and the component indicators are presented in relation to all LAs in England with valid values and in relation to a subset of ‘similar’ LAs. LAs are defined</w:t>
      </w:r>
      <w:r w:rsidR="00A41F61">
        <w:t xml:space="preserve"> as ‘similar’</w:t>
      </w:r>
      <w:r>
        <w:t xml:space="preserve"> using their 201</w:t>
      </w:r>
      <w:r w:rsidR="00A41F61">
        <w:t>9</w:t>
      </w:r>
      <w:r>
        <w:t xml:space="preserve"> Index of Multiple Deprivation (IMD) scores, by grouping LAs into deciles.  The IMD Average Scores for the LAs are calculated (by </w:t>
      </w:r>
      <w:hyperlink r:id="rId8" w:history="1">
        <w:r w:rsidR="00A41F61" w:rsidRPr="00A41F61">
          <w:rPr>
            <w:rStyle w:val="Hyperlink"/>
          </w:rPr>
          <w:t>ONS</w:t>
        </w:r>
      </w:hyperlink>
      <w:r>
        <w:t xml:space="preserve">) by taking the average of the IMD scores for the LA’s constituent lower layer super output areas (LSOAs). </w:t>
      </w:r>
      <w:r w:rsidRPr="00301A96">
        <w:t>The 16 UTLAs with the highest Average Scores make up decile 1 (the most deprived decile), the next 15 make up decile 2, and so on, with 15 UTLAs in each decile until decile 10, which has the 1</w:t>
      </w:r>
      <w:r w:rsidR="00840C9F">
        <w:t>5</w:t>
      </w:r>
      <w:r w:rsidRPr="00301A96">
        <w:t xml:space="preserve"> UTLAs with the lowest Average Scores.</w:t>
      </w:r>
    </w:p>
    <w:p w14:paraId="11A88CBB" w14:textId="0B61B2D4" w:rsidR="00301A96" w:rsidRDefault="0097378A" w:rsidP="00380C48">
      <w:r>
        <w:t>In addition to the deprivation deciles, LAs can be shown in relation to their nearest statistical neighbours, as defined by the</w:t>
      </w:r>
      <w:r w:rsidR="00301A96">
        <w:t xml:space="preserve"> Chartered Institute of Public Finance </w:t>
      </w:r>
      <w:r>
        <w:t>and Accountancy (CIPFA, 2018).</w:t>
      </w:r>
    </w:p>
    <w:p w14:paraId="6981E579" w14:textId="38612544" w:rsidR="007D0C5A" w:rsidRDefault="007D0C5A" w:rsidP="00F82675">
      <w:pPr>
        <w:pStyle w:val="Heading2"/>
        <w:rPr>
          <w:rFonts w:eastAsiaTheme="minorEastAsia"/>
        </w:rPr>
      </w:pPr>
      <w:r>
        <w:rPr>
          <w:rFonts w:eastAsiaTheme="minorEastAsia"/>
        </w:rPr>
        <w:t>Geographies used</w:t>
      </w:r>
    </w:p>
    <w:p w14:paraId="5BE8A2EA" w14:textId="4AB4CDB6" w:rsidR="00A82DFF" w:rsidRDefault="00A82DFF">
      <w:r w:rsidRPr="00A82DFF">
        <w:t xml:space="preserve">The summary rank indicators have been produced at </w:t>
      </w:r>
      <w:r w:rsidR="00840C9F">
        <w:t>post</w:t>
      </w:r>
      <w:r w:rsidRPr="00A82DFF">
        <w:t xml:space="preserve">-April 2019 geographies. </w:t>
      </w:r>
      <w:r w:rsidR="00840C9F" w:rsidRPr="00840C9F">
        <w:t>Due to this change, it hasn’t been possible to calculate summary ranks for the new unitary authorities for the ‘NHS Health Checks’, ‘Alcohol treatment’ and ‘Drug treatment’ domains, as the data for the component indicators were produced for pre-April 2019 geographies.</w:t>
      </w:r>
    </w:p>
    <w:p w14:paraId="01DF6AC3" w14:textId="298B04BE" w:rsidR="007D0C5A" w:rsidRPr="007D0C5A" w:rsidRDefault="00840C9F">
      <w:r>
        <w:t xml:space="preserve">Data for the component </w:t>
      </w:r>
      <w:r w:rsidR="00B71E2B">
        <w:t>indicators are available at</w:t>
      </w:r>
      <w:r>
        <w:t xml:space="preserve"> post-April 2019 geographies</w:t>
      </w:r>
      <w:r w:rsidR="00B71E2B">
        <w:t>, and for the short-term, at pre-April 2019 geographies. These</w:t>
      </w:r>
      <w:r w:rsidR="007D0C5A">
        <w:t xml:space="preserve"> are available at </w:t>
      </w:r>
      <w:bookmarkStart w:id="0" w:name="_GoBack"/>
      <w:bookmarkEnd w:id="0"/>
      <w:r w:rsidR="00B71E2B">
        <w:fldChar w:fldCharType="begin"/>
      </w:r>
      <w:r w:rsidR="00B71E2B">
        <w:instrText xml:space="preserve"> HYPERLINK "https://fingertips.phe.org.uk/profile/public-health-dashboard-ft" </w:instrText>
      </w:r>
      <w:r w:rsidR="00B71E2B">
        <w:fldChar w:fldCharType="separate"/>
      </w:r>
      <w:r w:rsidR="007D0C5A" w:rsidRPr="005828D0">
        <w:rPr>
          <w:rStyle w:val="Hyperlink"/>
        </w:rPr>
        <w:t>https://fingertips.phe.org.uk/profile/public-health-dashboard-ft</w:t>
      </w:r>
      <w:r w:rsidR="00B71E2B">
        <w:rPr>
          <w:rStyle w:val="Hyperlink"/>
        </w:rPr>
        <w:fldChar w:fldCharType="end"/>
      </w:r>
      <w:r w:rsidR="007D0C5A">
        <w:t>.</w:t>
      </w:r>
    </w:p>
    <w:p w14:paraId="0A2B9869" w14:textId="77777777" w:rsidR="00EB0347" w:rsidRPr="00A00404" w:rsidRDefault="00EB0347" w:rsidP="00380C48">
      <w:pPr>
        <w:pStyle w:val="Heading2"/>
      </w:pPr>
      <w:r w:rsidRPr="00A00404">
        <w:t>Reference</w:t>
      </w:r>
      <w:r w:rsidR="0097378A">
        <w:t>s</w:t>
      </w:r>
    </w:p>
    <w:p w14:paraId="4582A9A5" w14:textId="77777777" w:rsidR="0097378A" w:rsidRDefault="00EB0347" w:rsidP="00380C48">
      <w:pPr>
        <w:rPr>
          <w:color w:val="0000FF" w:themeColor="hyperlink"/>
          <w:u w:val="single"/>
        </w:rPr>
      </w:pPr>
      <w:r w:rsidRPr="00EB0347">
        <w:rPr>
          <w:rFonts w:eastAsiaTheme="minorEastAsia"/>
        </w:rPr>
        <w:t xml:space="preserve">OECD 2008. Handbook on constructing composite indicators: methodology and user guide. </w:t>
      </w:r>
      <w:r w:rsidRPr="00EB0347">
        <w:t xml:space="preserve">ISBN 978-92-64-04345-9. </w:t>
      </w:r>
      <w:hyperlink r:id="rId9" w:history="1">
        <w:r w:rsidR="00A00404" w:rsidRPr="00EB0347">
          <w:rPr>
            <w:color w:val="0000FF" w:themeColor="hyperlink"/>
            <w:u w:val="single"/>
          </w:rPr>
          <w:t>https://www.oecd.org/std/42495745.pdf</w:t>
        </w:r>
      </w:hyperlink>
    </w:p>
    <w:p w14:paraId="40B2ECF1" w14:textId="77777777" w:rsidR="0097378A" w:rsidRDefault="0097378A" w:rsidP="0097378A">
      <w:pPr>
        <w:autoSpaceDE w:val="0"/>
        <w:autoSpaceDN w:val="0"/>
        <w:adjustRightInd w:val="0"/>
        <w:spacing w:before="0" w:after="0" w:line="240" w:lineRule="auto"/>
      </w:pPr>
      <w:r w:rsidRPr="0097378A">
        <w:t>CIPF</w:t>
      </w:r>
      <w:r>
        <w:t xml:space="preserve">A 2018. Nearest Neighbours Model. </w:t>
      </w:r>
      <w:hyperlink r:id="rId10" w:history="1">
        <w:r w:rsidRPr="0091698E">
          <w:rPr>
            <w:rStyle w:val="Hyperlink"/>
          </w:rPr>
          <w:t>https://www.cipf</w:t>
        </w:r>
        <w:r w:rsidRPr="0091698E">
          <w:rPr>
            <w:rStyle w:val="Hyperlink"/>
          </w:rPr>
          <w:t>a</w:t>
        </w:r>
        <w:r w:rsidRPr="0091698E">
          <w:rPr>
            <w:rStyle w:val="Hyperlink"/>
          </w:rPr>
          <w:t>stats.net/resources/nearestneighbours/</w:t>
        </w:r>
      </w:hyperlink>
    </w:p>
    <w:p w14:paraId="2B38B6C3" w14:textId="77777777" w:rsidR="0097378A" w:rsidRPr="0097378A" w:rsidRDefault="0097378A" w:rsidP="0097378A">
      <w:pPr>
        <w:autoSpaceDE w:val="0"/>
        <w:autoSpaceDN w:val="0"/>
        <w:adjustRightInd w:val="0"/>
        <w:spacing w:before="0" w:after="0" w:line="240" w:lineRule="auto"/>
        <w:rPr>
          <w:rFonts w:ascii="MS Shell Dlg 2" w:eastAsia="Calibri" w:hAnsi="MS Shell Dlg 2" w:cs="MS Shell Dlg 2"/>
          <w:sz w:val="17"/>
          <w:szCs w:val="17"/>
          <w:lang w:eastAsia="en-GB"/>
        </w:rPr>
      </w:pPr>
    </w:p>
    <w:sectPr w:rsidR="0097378A" w:rsidRPr="0097378A" w:rsidSect="00F82675">
      <w:footerReference w:type="default" r:id="rId11"/>
      <w:headerReference w:type="first" r:id="rId12"/>
      <w:footerReference w:type="first" r:id="rId13"/>
      <w:type w:val="continuous"/>
      <w:pgSz w:w="11906" w:h="16838"/>
      <w:pgMar w:top="1440" w:right="1440" w:bottom="1440" w:left="1440" w:header="1135"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31DC5" w14:textId="77777777" w:rsidR="00153721" w:rsidRDefault="00153721" w:rsidP="00380C48">
      <w:r>
        <w:separator/>
      </w:r>
    </w:p>
  </w:endnote>
  <w:endnote w:type="continuationSeparator" w:id="0">
    <w:p w14:paraId="528DC848" w14:textId="77777777" w:rsidR="00153721" w:rsidRDefault="00153721" w:rsidP="0038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9E12" w14:textId="1B2BE15D" w:rsidR="00315AB3" w:rsidRPr="006A115E" w:rsidRDefault="00315AB3" w:rsidP="00380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A1A42" w14:textId="7D715EAF" w:rsidR="00315AB3" w:rsidRPr="005E4A5D" w:rsidRDefault="00315AB3" w:rsidP="00380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93B60" w14:textId="77777777" w:rsidR="00153721" w:rsidRDefault="00153721" w:rsidP="00380C48">
      <w:r>
        <w:separator/>
      </w:r>
    </w:p>
  </w:footnote>
  <w:footnote w:type="continuationSeparator" w:id="0">
    <w:p w14:paraId="4CB42626" w14:textId="77777777" w:rsidR="00153721" w:rsidRDefault="00153721" w:rsidP="00380C48">
      <w:r>
        <w:continuationSeparator/>
      </w:r>
    </w:p>
  </w:footnote>
  <w:footnote w:id="1">
    <w:p w14:paraId="0E06238A" w14:textId="77CF6D62" w:rsidR="00FA23B3" w:rsidRDefault="00FA23B3">
      <w:pPr>
        <w:pStyle w:val="FootnoteText"/>
      </w:pPr>
      <w:r>
        <w:rPr>
          <w:rStyle w:val="FootnoteReference"/>
        </w:rPr>
        <w:footnoteRef/>
      </w:r>
      <w:r>
        <w:t xml:space="preserve"> The air quality service area contains just one indicator, which is presented in its original form – </w:t>
      </w:r>
      <w:r w:rsidR="006F5B13">
        <w:t>this indicator has not been transformed or ranked</w:t>
      </w:r>
      <w:r>
        <w:t>.</w:t>
      </w:r>
      <w:r w:rsidR="006F5B13">
        <w:t xml:space="preserve"> The Best Start in Life summary rank indicator is based on three of the component indicators only, the breastfeeding indicator is not included.</w:t>
      </w:r>
    </w:p>
  </w:footnote>
  <w:footnote w:id="2">
    <w:p w14:paraId="1C8E0EB8" w14:textId="77777777" w:rsidR="00EB0347" w:rsidRDefault="00EB0347" w:rsidP="00380C48">
      <w:pPr>
        <w:pStyle w:val="FootnoteText"/>
      </w:pPr>
      <w:r>
        <w:rPr>
          <w:rStyle w:val="FootnoteReference"/>
        </w:rPr>
        <w:footnoteRef/>
      </w:r>
      <w:r>
        <w:t xml:space="preserve"> Or however many valid LA values there are</w:t>
      </w:r>
    </w:p>
  </w:footnote>
  <w:footnote w:id="3">
    <w:p w14:paraId="10D77B6B" w14:textId="432F2A32" w:rsidR="00FA23B3" w:rsidRDefault="00FA23B3">
      <w:pPr>
        <w:pStyle w:val="FootnoteText"/>
      </w:pPr>
      <w:r>
        <w:rPr>
          <w:rStyle w:val="FootnoteReference"/>
        </w:rPr>
        <w:footnoteRef/>
      </w:r>
      <w:r>
        <w:t xml:space="preserve"> RAG ratings are used where the polarity of the indicator is clear, i.e. high values are ‘good’ or low values are ‘good’.  </w:t>
      </w:r>
      <w:r w:rsidR="000D7276">
        <w:t xml:space="preserve"> The indicator</w:t>
      </w:r>
      <w:r>
        <w:t xml:space="preserve"> on long-acting reversible contraceptive </w:t>
      </w:r>
      <w:r w:rsidR="00132379">
        <w:t xml:space="preserve">(LARC) </w:t>
      </w:r>
      <w:r>
        <w:t>prescribing</w:t>
      </w:r>
      <w:r w:rsidR="000D7276">
        <w:t xml:space="preserve"> is</w:t>
      </w:r>
      <w:r>
        <w:t xml:space="preserve"> rated neutral </w:t>
      </w:r>
      <w:r w:rsidR="000D7276">
        <w:t xml:space="preserve">using </w:t>
      </w:r>
      <w:r>
        <w:t>‘blue-orange-blue’</w:t>
      </w:r>
      <w:r w:rsidR="000D7276">
        <w:t xml:space="preserve"> as there are caveats around its interpretation, but in the summary rank calculations it is assumed that high is ‘good’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5CB4" w14:textId="77777777" w:rsidR="00315AB3" w:rsidRDefault="00153721" w:rsidP="00380C48">
    <w:pPr>
      <w:pStyle w:val="Header"/>
    </w:pPr>
    <w:r>
      <w:rPr>
        <w:noProof/>
        <w:lang w:eastAsia="en-GB"/>
      </w:rPr>
      <w:drawing>
        <wp:anchor distT="0" distB="0" distL="114300" distR="114300" simplePos="0" relativeHeight="251657728" behindDoc="0" locked="0" layoutInCell="1" allowOverlap="1" wp14:anchorId="236FB781" wp14:editId="0FDF8BE2">
          <wp:simplePos x="0" y="0"/>
          <wp:positionH relativeFrom="column">
            <wp:posOffset>-648335</wp:posOffset>
          </wp:positionH>
          <wp:positionV relativeFrom="paragraph">
            <wp:posOffset>-732155</wp:posOffset>
          </wp:positionV>
          <wp:extent cx="4065270" cy="2007870"/>
          <wp:effectExtent l="0" t="0" r="0" b="0"/>
          <wp:wrapTopAndBottom/>
          <wp:docPr id="1" name="Picture 2"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5270" cy="200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82E8D"/>
    <w:multiLevelType w:val="hybridMultilevel"/>
    <w:tmpl w:val="04F2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77DD3"/>
    <w:multiLevelType w:val="hybridMultilevel"/>
    <w:tmpl w:val="CDC6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DB5D11"/>
    <w:multiLevelType w:val="hybridMultilevel"/>
    <w:tmpl w:val="148235AE"/>
    <w:lvl w:ilvl="0" w:tplc="014890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doNotHyphenateCaps/>
  <w:drawingGridHorizontalSpacing w:val="120"/>
  <w:displayHorizontalDrawingGridEvery w:val="2"/>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21"/>
    <w:rsid w:val="0001276E"/>
    <w:rsid w:val="000257C6"/>
    <w:rsid w:val="000742C2"/>
    <w:rsid w:val="00085A68"/>
    <w:rsid w:val="00096FFC"/>
    <w:rsid w:val="000C50FB"/>
    <w:rsid w:val="000D5B3F"/>
    <w:rsid w:val="000D7276"/>
    <w:rsid w:val="000E193A"/>
    <w:rsid w:val="000E4865"/>
    <w:rsid w:val="00132379"/>
    <w:rsid w:val="00151D61"/>
    <w:rsid w:val="00153721"/>
    <w:rsid w:val="00154084"/>
    <w:rsid w:val="0019479C"/>
    <w:rsid w:val="00194B8B"/>
    <w:rsid w:val="001E02EC"/>
    <w:rsid w:val="001F6988"/>
    <w:rsid w:val="002111C8"/>
    <w:rsid w:val="00237976"/>
    <w:rsid w:val="00270D62"/>
    <w:rsid w:val="002B725C"/>
    <w:rsid w:val="002C2E25"/>
    <w:rsid w:val="00301A96"/>
    <w:rsid w:val="00303D9F"/>
    <w:rsid w:val="00310DC5"/>
    <w:rsid w:val="00315AB3"/>
    <w:rsid w:val="00316CD3"/>
    <w:rsid w:val="00364873"/>
    <w:rsid w:val="00380C48"/>
    <w:rsid w:val="00394631"/>
    <w:rsid w:val="003A000A"/>
    <w:rsid w:val="003B2992"/>
    <w:rsid w:val="003B3383"/>
    <w:rsid w:val="003E683C"/>
    <w:rsid w:val="003F071F"/>
    <w:rsid w:val="003F66F5"/>
    <w:rsid w:val="00411FD9"/>
    <w:rsid w:val="00415F3E"/>
    <w:rsid w:val="00425B35"/>
    <w:rsid w:val="00437805"/>
    <w:rsid w:val="004B70A8"/>
    <w:rsid w:val="00517170"/>
    <w:rsid w:val="005342B6"/>
    <w:rsid w:val="00535D0D"/>
    <w:rsid w:val="00536FD5"/>
    <w:rsid w:val="005629A6"/>
    <w:rsid w:val="00567046"/>
    <w:rsid w:val="0057662F"/>
    <w:rsid w:val="00576873"/>
    <w:rsid w:val="005B0D4C"/>
    <w:rsid w:val="005B2384"/>
    <w:rsid w:val="005C6114"/>
    <w:rsid w:val="005E4A5D"/>
    <w:rsid w:val="00605D6C"/>
    <w:rsid w:val="00636A73"/>
    <w:rsid w:val="00646474"/>
    <w:rsid w:val="0066498D"/>
    <w:rsid w:val="00677382"/>
    <w:rsid w:val="006778CF"/>
    <w:rsid w:val="006946F0"/>
    <w:rsid w:val="00696F5B"/>
    <w:rsid w:val="006A115E"/>
    <w:rsid w:val="006B1EEC"/>
    <w:rsid w:val="006B42FE"/>
    <w:rsid w:val="006D3FD0"/>
    <w:rsid w:val="006F5B13"/>
    <w:rsid w:val="00713811"/>
    <w:rsid w:val="00731607"/>
    <w:rsid w:val="007403F6"/>
    <w:rsid w:val="0075105C"/>
    <w:rsid w:val="00757153"/>
    <w:rsid w:val="00780F04"/>
    <w:rsid w:val="007C460C"/>
    <w:rsid w:val="007C59A4"/>
    <w:rsid w:val="007D0C5A"/>
    <w:rsid w:val="007D6212"/>
    <w:rsid w:val="007E1EE0"/>
    <w:rsid w:val="007E5FEC"/>
    <w:rsid w:val="007E6EB2"/>
    <w:rsid w:val="00840C9F"/>
    <w:rsid w:val="00844C9D"/>
    <w:rsid w:val="00850E60"/>
    <w:rsid w:val="0085323E"/>
    <w:rsid w:val="00864BA5"/>
    <w:rsid w:val="00891799"/>
    <w:rsid w:val="00893C64"/>
    <w:rsid w:val="008A34C2"/>
    <w:rsid w:val="008D6BA4"/>
    <w:rsid w:val="008F3AC3"/>
    <w:rsid w:val="00900854"/>
    <w:rsid w:val="00925D4B"/>
    <w:rsid w:val="0093425F"/>
    <w:rsid w:val="00936684"/>
    <w:rsid w:val="00971A3F"/>
    <w:rsid w:val="0097378A"/>
    <w:rsid w:val="00994A21"/>
    <w:rsid w:val="009F0B27"/>
    <w:rsid w:val="00A00404"/>
    <w:rsid w:val="00A053AE"/>
    <w:rsid w:val="00A13920"/>
    <w:rsid w:val="00A41F61"/>
    <w:rsid w:val="00A82DFF"/>
    <w:rsid w:val="00A8707A"/>
    <w:rsid w:val="00AB7020"/>
    <w:rsid w:val="00AD2F73"/>
    <w:rsid w:val="00B359C6"/>
    <w:rsid w:val="00B47CF8"/>
    <w:rsid w:val="00B54E99"/>
    <w:rsid w:val="00B55DE5"/>
    <w:rsid w:val="00B71E2B"/>
    <w:rsid w:val="00BE3227"/>
    <w:rsid w:val="00BF13D8"/>
    <w:rsid w:val="00BF28E3"/>
    <w:rsid w:val="00BF59C9"/>
    <w:rsid w:val="00C04FC0"/>
    <w:rsid w:val="00C20E27"/>
    <w:rsid w:val="00C62D09"/>
    <w:rsid w:val="00C6305C"/>
    <w:rsid w:val="00CB5ABF"/>
    <w:rsid w:val="00CC108C"/>
    <w:rsid w:val="00CD17CE"/>
    <w:rsid w:val="00CD1E9C"/>
    <w:rsid w:val="00CD39A5"/>
    <w:rsid w:val="00D01055"/>
    <w:rsid w:val="00D24ECB"/>
    <w:rsid w:val="00DC5678"/>
    <w:rsid w:val="00E13E23"/>
    <w:rsid w:val="00E14D00"/>
    <w:rsid w:val="00E46D04"/>
    <w:rsid w:val="00E70004"/>
    <w:rsid w:val="00E7584C"/>
    <w:rsid w:val="00E7633A"/>
    <w:rsid w:val="00EA167E"/>
    <w:rsid w:val="00EB0347"/>
    <w:rsid w:val="00EB260A"/>
    <w:rsid w:val="00EB3E86"/>
    <w:rsid w:val="00F65D29"/>
    <w:rsid w:val="00F82675"/>
    <w:rsid w:val="00FA23B3"/>
    <w:rsid w:val="00FB7B6E"/>
    <w:rsid w:val="00FD0D30"/>
    <w:rsid w:val="00FD13D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2848CDC7"/>
  <w15:docId w15:val="{2C759374-00ED-4127-83D1-3AAF5BAF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80C48"/>
    <w:pPr>
      <w:spacing w:before="120" w:after="120" w:line="276" w:lineRule="auto"/>
    </w:pPr>
    <w:rPr>
      <w:rFonts w:ascii="Arial" w:eastAsiaTheme="minorHAnsi" w:hAnsi="Arial" w:cs="Arial"/>
      <w:sz w:val="24"/>
      <w:szCs w:val="24"/>
      <w:lang w:eastAsia="en-US"/>
    </w:rPr>
  </w:style>
  <w:style w:type="paragraph" w:styleId="Heading1">
    <w:name w:val="heading 1"/>
    <w:basedOn w:val="Normal"/>
    <w:next w:val="Normal"/>
    <w:link w:val="Heading1Char"/>
    <w:uiPriority w:val="99"/>
    <w:qFormat/>
    <w:rsid w:val="00096FFC"/>
    <w:pPr>
      <w:keepNext/>
      <w:spacing w:before="240" w:after="60"/>
      <w:outlineLvl w:val="0"/>
    </w:pPr>
    <w:rPr>
      <w:rFonts w:eastAsia="Times New Roman"/>
      <w:bCs/>
      <w:kern w:val="32"/>
      <w:sz w:val="40"/>
      <w:szCs w:val="32"/>
    </w:rPr>
  </w:style>
  <w:style w:type="paragraph" w:styleId="Heading2">
    <w:name w:val="heading 2"/>
    <w:basedOn w:val="Normal"/>
    <w:next w:val="Normal"/>
    <w:link w:val="Heading2Char"/>
    <w:uiPriority w:val="99"/>
    <w:qFormat/>
    <w:rsid w:val="00380C48"/>
    <w:pPr>
      <w:keepNext/>
      <w:keepLines/>
      <w:spacing w:before="240"/>
      <w:outlineLvl w:val="1"/>
    </w:pPr>
    <w:rPr>
      <w:rFonts w:eastAsiaTheme="majorEastAsia"/>
      <w:b/>
      <w:bCs/>
      <w:color w:val="000000"/>
      <w:sz w:val="26"/>
      <w:szCs w:val="26"/>
    </w:rPr>
  </w:style>
  <w:style w:type="paragraph" w:styleId="Heading3">
    <w:name w:val="heading 3"/>
    <w:basedOn w:val="Normal"/>
    <w:next w:val="Normal"/>
    <w:link w:val="Heading3Char"/>
    <w:uiPriority w:val="99"/>
    <w:qFormat/>
    <w:rsid w:val="00A00404"/>
    <w:pPr>
      <w:keepNext/>
      <w:keepLines/>
      <w:spacing w:before="200" w:after="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6FFC"/>
    <w:rPr>
      <w:rFonts w:ascii="Arial" w:hAnsi="Arial" w:cs="Times New Roman"/>
      <w:bCs/>
      <w:kern w:val="32"/>
      <w:sz w:val="32"/>
    </w:rPr>
  </w:style>
  <w:style w:type="character" w:customStyle="1" w:styleId="Heading2Char">
    <w:name w:val="Heading 2 Char"/>
    <w:link w:val="Heading2"/>
    <w:uiPriority w:val="99"/>
    <w:rsid w:val="00380C48"/>
    <w:rPr>
      <w:rFonts w:ascii="Arial" w:eastAsiaTheme="majorEastAsia" w:hAnsi="Arial" w:cs="Arial"/>
      <w:b/>
      <w:bCs/>
      <w:color w:val="000000"/>
      <w:sz w:val="26"/>
      <w:szCs w:val="26"/>
      <w:lang w:eastAsia="en-US"/>
    </w:rPr>
  </w:style>
  <w:style w:type="character" w:customStyle="1" w:styleId="Heading3Char">
    <w:name w:val="Heading 3 Char"/>
    <w:link w:val="Heading3"/>
    <w:uiPriority w:val="99"/>
    <w:rsid w:val="00A00404"/>
    <w:rPr>
      <w:rFonts w:ascii="Arial" w:eastAsiaTheme="minorHAnsi" w:hAnsi="Arial"/>
      <w:b/>
      <w:bCs/>
      <w:sz w:val="24"/>
      <w:szCs w:val="24"/>
      <w:lang w:eastAsia="en-US"/>
    </w:rPr>
  </w:style>
  <w:style w:type="paragraph" w:styleId="Header">
    <w:name w:val="header"/>
    <w:basedOn w:val="Normal"/>
    <w:link w:val="HeaderChar"/>
    <w:uiPriority w:val="99"/>
    <w:rsid w:val="00096FFC"/>
    <w:pPr>
      <w:spacing w:line="200" w:lineRule="exact"/>
    </w:pPr>
    <w:rPr>
      <w:sz w:val="16"/>
      <w:szCs w:val="16"/>
    </w:rPr>
  </w:style>
  <w:style w:type="character" w:customStyle="1" w:styleId="HeaderChar">
    <w:name w:val="Header Char"/>
    <w:link w:val="Header"/>
    <w:uiPriority w:val="99"/>
    <w:rsid w:val="00096FFC"/>
    <w:rPr>
      <w:rFonts w:ascii="Arial" w:eastAsia="Times New Roman" w:hAnsi="Arial" w:cs="Times New Roman"/>
      <w:sz w:val="16"/>
    </w:rPr>
  </w:style>
  <w:style w:type="paragraph" w:styleId="Footer">
    <w:name w:val="footer"/>
    <w:basedOn w:val="Normal"/>
    <w:link w:val="FooterChar"/>
    <w:uiPriority w:val="99"/>
    <w:rsid w:val="00096FFC"/>
    <w:pPr>
      <w:tabs>
        <w:tab w:val="center" w:pos="4513"/>
        <w:tab w:val="right" w:pos="9026"/>
      </w:tabs>
      <w:spacing w:line="240" w:lineRule="auto"/>
    </w:pPr>
  </w:style>
  <w:style w:type="character" w:customStyle="1" w:styleId="FooterChar">
    <w:name w:val="Footer Char"/>
    <w:link w:val="Footer"/>
    <w:uiPriority w:val="99"/>
    <w:rsid w:val="00096FFC"/>
    <w:rPr>
      <w:rFonts w:ascii="Arial" w:eastAsia="Times New Roman"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eastAsia="Times New Roman" w:hAnsi="Tahoma" w:cs="Tahoma"/>
      <w:sz w:val="16"/>
      <w:lang w:val="en-US"/>
    </w:rPr>
  </w:style>
  <w:style w:type="paragraph" w:styleId="Title">
    <w:name w:val="Title"/>
    <w:basedOn w:val="Normal"/>
    <w:next w:val="Normal"/>
    <w:link w:val="TitleChar"/>
    <w:uiPriority w:val="99"/>
    <w:qFormat/>
    <w:rsid w:val="00891799"/>
    <w:pPr>
      <w:pBdr>
        <w:bottom w:val="single" w:sz="8" w:space="4" w:color="4F81B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99"/>
    <w:rsid w:val="00891799"/>
    <w:rPr>
      <w:rFonts w:ascii="Arial" w:hAnsi="Arial" w:cs="Times New Roman"/>
      <w:color w:val="000000"/>
      <w:spacing w:val="5"/>
      <w:kern w:val="28"/>
      <w:sz w:val="52"/>
    </w:rPr>
  </w:style>
  <w:style w:type="paragraph" w:styleId="Subtitle">
    <w:name w:val="Subtitle"/>
    <w:basedOn w:val="Normal"/>
    <w:next w:val="Normal"/>
    <w:link w:val="SubtitleChar"/>
    <w:uiPriority w:val="99"/>
    <w:qFormat/>
    <w:rsid w:val="00891799"/>
    <w:pPr>
      <w:numPr>
        <w:ilvl w:val="1"/>
      </w:numPr>
    </w:pPr>
    <w:rPr>
      <w:rFonts w:eastAsia="Times New Roman"/>
      <w:i/>
      <w:iCs/>
      <w:spacing w:val="15"/>
    </w:rPr>
  </w:style>
  <w:style w:type="character" w:customStyle="1" w:styleId="SubtitleChar">
    <w:name w:val="Subtitle Char"/>
    <w:link w:val="Subtitle"/>
    <w:uiPriority w:val="99"/>
    <w:rsid w:val="00891799"/>
    <w:rPr>
      <w:rFonts w:ascii="Arial" w:hAnsi="Arial" w:cs="Times New Roman"/>
      <w:i/>
      <w:iCs/>
      <w:spacing w:val="15"/>
      <w:sz w:val="24"/>
    </w:rPr>
  </w:style>
  <w:style w:type="character" w:styleId="SubtleEmphasis">
    <w:name w:val="Subtle Emphasis"/>
    <w:uiPriority w:val="99"/>
    <w:rsid w:val="00891799"/>
    <w:rPr>
      <w:rFonts w:ascii="Arial" w:hAnsi="Arial" w:cs="Times New Roman"/>
      <w:i/>
      <w:iCs/>
      <w:color w:val="7F7F7F"/>
    </w:rPr>
  </w:style>
  <w:style w:type="character" w:styleId="Emphasis">
    <w:name w:val="Emphasis"/>
    <w:uiPriority w:val="99"/>
    <w:qFormat/>
    <w:rsid w:val="00891799"/>
    <w:rPr>
      <w:rFonts w:ascii="Arial" w:hAnsi="Arial" w:cs="Times New Roman"/>
      <w:i/>
      <w:iCs/>
    </w:rPr>
  </w:style>
  <w:style w:type="character" w:styleId="IntenseEmphasis">
    <w:name w:val="Intense Emphasis"/>
    <w:uiPriority w:val="99"/>
    <w:rsid w:val="00891799"/>
    <w:rPr>
      <w:rFonts w:cs="Times New Roman"/>
      <w:b/>
      <w:bCs/>
      <w:i/>
      <w:iCs/>
      <w:color w:val="auto"/>
    </w:rPr>
  </w:style>
  <w:style w:type="character" w:styleId="SubtleReference">
    <w:name w:val="Subtle Reference"/>
    <w:uiPriority w:val="99"/>
    <w:rsid w:val="00891799"/>
    <w:rPr>
      <w:rFonts w:ascii="Arial" w:hAnsi="Arial" w:cs="Times New Roman"/>
      <w:smallCaps/>
      <w:color w:val="C0504D"/>
      <w:u w:val="single"/>
    </w:rPr>
  </w:style>
  <w:style w:type="character" w:styleId="BookTitle">
    <w:name w:val="Book Title"/>
    <w:uiPriority w:val="99"/>
    <w:rsid w:val="00891799"/>
    <w:rPr>
      <w:rFonts w:ascii="Arial" w:hAnsi="Arial" w:cs="Times New Roman"/>
      <w:b/>
      <w:bCs/>
      <w:smallCaps/>
      <w:spacing w:val="5"/>
    </w:rPr>
  </w:style>
  <w:style w:type="paragraph" w:styleId="NoSpacing">
    <w:name w:val="No Spacing"/>
    <w:uiPriority w:val="99"/>
    <w:semiHidden/>
    <w:qFormat/>
    <w:rsid w:val="001F6988"/>
    <w:rPr>
      <w:rFonts w:ascii="Arial" w:hAnsi="Arial"/>
      <w:sz w:val="24"/>
      <w:szCs w:val="24"/>
      <w:lang w:eastAsia="en-US"/>
    </w:rPr>
  </w:style>
  <w:style w:type="character" w:styleId="Hyperlink">
    <w:name w:val="Hyperlink"/>
    <w:uiPriority w:val="99"/>
    <w:unhideWhenUsed/>
    <w:rsid w:val="00153721"/>
    <w:rPr>
      <w:color w:val="0000FF"/>
      <w:u w:val="single"/>
    </w:rPr>
  </w:style>
  <w:style w:type="paragraph" w:styleId="ListParagraph">
    <w:name w:val="List Paragraph"/>
    <w:basedOn w:val="Normal"/>
    <w:uiPriority w:val="34"/>
    <w:qFormat/>
    <w:rsid w:val="00153721"/>
    <w:pPr>
      <w:spacing w:after="200"/>
      <w:ind w:left="720"/>
      <w:contextualSpacing/>
    </w:pPr>
    <w:rPr>
      <w:rFonts w:ascii="Calibri" w:hAnsi="Calibri"/>
      <w:sz w:val="22"/>
      <w:szCs w:val="22"/>
    </w:rPr>
  </w:style>
  <w:style w:type="paragraph" w:styleId="FootnoteText">
    <w:name w:val="footnote text"/>
    <w:basedOn w:val="Normal"/>
    <w:link w:val="FootnoteTextChar"/>
    <w:uiPriority w:val="99"/>
    <w:unhideWhenUsed/>
    <w:rsid w:val="00153721"/>
    <w:pPr>
      <w:spacing w:line="240" w:lineRule="auto"/>
    </w:pPr>
    <w:rPr>
      <w:rFonts w:ascii="Calibri" w:hAnsi="Calibri"/>
      <w:sz w:val="20"/>
      <w:szCs w:val="20"/>
    </w:rPr>
  </w:style>
  <w:style w:type="character" w:customStyle="1" w:styleId="FootnoteTextChar">
    <w:name w:val="Footnote Text Char"/>
    <w:basedOn w:val="DefaultParagraphFont"/>
    <w:link w:val="FootnoteText"/>
    <w:uiPriority w:val="99"/>
    <w:rsid w:val="00153721"/>
    <w:rPr>
      <w:lang w:eastAsia="en-US"/>
    </w:rPr>
  </w:style>
  <w:style w:type="character" w:styleId="FootnoteReference">
    <w:name w:val="footnote reference"/>
    <w:uiPriority w:val="99"/>
    <w:semiHidden/>
    <w:unhideWhenUsed/>
    <w:rsid w:val="00153721"/>
    <w:rPr>
      <w:vertAlign w:val="superscript"/>
    </w:rPr>
  </w:style>
  <w:style w:type="table" w:styleId="TableGrid">
    <w:name w:val="Table Grid"/>
    <w:basedOn w:val="TableNormal"/>
    <w:uiPriority w:val="59"/>
    <w:rsid w:val="001537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B03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57C6"/>
    <w:rPr>
      <w:color w:val="808080"/>
    </w:rPr>
  </w:style>
  <w:style w:type="character" w:styleId="Strong">
    <w:name w:val="Strong"/>
    <w:basedOn w:val="DefaultParagraphFont"/>
    <w:uiPriority w:val="22"/>
    <w:qFormat/>
    <w:rsid w:val="00380C48"/>
    <w:rPr>
      <w:b/>
      <w:bCs/>
    </w:rPr>
  </w:style>
  <w:style w:type="character" w:styleId="CommentReference">
    <w:name w:val="annotation reference"/>
    <w:basedOn w:val="DefaultParagraphFont"/>
    <w:uiPriority w:val="99"/>
    <w:semiHidden/>
    <w:unhideWhenUsed/>
    <w:rsid w:val="001E02EC"/>
    <w:rPr>
      <w:sz w:val="16"/>
      <w:szCs w:val="16"/>
    </w:rPr>
  </w:style>
  <w:style w:type="paragraph" w:styleId="CommentText">
    <w:name w:val="annotation text"/>
    <w:basedOn w:val="Normal"/>
    <w:link w:val="CommentTextChar"/>
    <w:uiPriority w:val="99"/>
    <w:semiHidden/>
    <w:unhideWhenUsed/>
    <w:rsid w:val="001E02EC"/>
    <w:pPr>
      <w:spacing w:line="240" w:lineRule="auto"/>
    </w:pPr>
    <w:rPr>
      <w:sz w:val="20"/>
      <w:szCs w:val="20"/>
    </w:rPr>
  </w:style>
  <w:style w:type="character" w:customStyle="1" w:styleId="CommentTextChar">
    <w:name w:val="Comment Text Char"/>
    <w:basedOn w:val="DefaultParagraphFont"/>
    <w:link w:val="CommentText"/>
    <w:uiPriority w:val="99"/>
    <w:semiHidden/>
    <w:rsid w:val="001E02EC"/>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1E02EC"/>
    <w:rPr>
      <w:b/>
      <w:bCs/>
    </w:rPr>
  </w:style>
  <w:style w:type="character" w:customStyle="1" w:styleId="CommentSubjectChar">
    <w:name w:val="Comment Subject Char"/>
    <w:basedOn w:val="CommentTextChar"/>
    <w:link w:val="CommentSubject"/>
    <w:uiPriority w:val="99"/>
    <w:semiHidden/>
    <w:rsid w:val="001E02EC"/>
    <w:rPr>
      <w:rFonts w:ascii="Arial" w:eastAsiaTheme="minorHAnsi" w:hAnsi="Arial" w:cs="Arial"/>
      <w:b/>
      <w:bCs/>
      <w:lang w:eastAsia="en-US"/>
    </w:rPr>
  </w:style>
  <w:style w:type="character" w:styleId="FollowedHyperlink">
    <w:name w:val="FollowedHyperlink"/>
    <w:basedOn w:val="DefaultParagraphFont"/>
    <w:uiPriority w:val="99"/>
    <w:semiHidden/>
    <w:unhideWhenUsed/>
    <w:rsid w:val="00D01055"/>
    <w:rPr>
      <w:color w:val="800080" w:themeColor="followedHyperlink"/>
      <w:u w:val="single"/>
    </w:rPr>
  </w:style>
  <w:style w:type="character" w:styleId="Mention">
    <w:name w:val="Mention"/>
    <w:basedOn w:val="DefaultParagraphFont"/>
    <w:uiPriority w:val="99"/>
    <w:semiHidden/>
    <w:unhideWhenUsed/>
    <w:rsid w:val="007D0C5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opendatacommunities.org/resource?uri=http%3A%2F%2Fopendatacommunities.org%2Fdata%2Fsocietal-wellbeing%2Fimd2019%2Findicesbyl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pfastats.net/resources/nearestneighbours/" TargetMode="External"/><Relationship Id="rId4" Type="http://schemas.openxmlformats.org/officeDocument/2006/relationships/settings" Target="settings.xml"/><Relationship Id="rId9" Type="http://schemas.openxmlformats.org/officeDocument/2006/relationships/hyperlink" Target="https://www.oecd.org/std/42495745.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ha.roberts\Downloads\Plain-documen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AE9A7-E80E-4DBA-8BF5-C24C71A7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Plain-document (3)</Template>
  <TotalTime>0</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Plain document</vt:lpstr>
    </vt:vector>
  </TitlesOfParts>
  <Company/>
  <LinksUpToDate>false</LinksUpToDate>
  <CharactersWithSpaces>7762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document</dc:title>
  <dc:creator>Natasha Roberts</dc:creator>
  <cp:lastModifiedBy>Leigh Dowd</cp:lastModifiedBy>
  <cp:revision>2</cp:revision>
  <cp:lastPrinted>2017-10-11T12:20:00Z</cp:lastPrinted>
  <dcterms:created xsi:type="dcterms:W3CDTF">2020-01-29T09:44:00Z</dcterms:created>
  <dcterms:modified xsi:type="dcterms:W3CDTF">2020-01-29T09:44:00Z</dcterms:modified>
</cp:coreProperties>
</file>