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04" w:rsidRPr="00891799" w:rsidRDefault="00194A91" w:rsidP="00E46D04">
      <w:pPr>
        <w:pStyle w:val="Heading1"/>
      </w:pPr>
      <w:bookmarkStart w:id="0" w:name="_GoBack"/>
      <w:bookmarkEnd w:id="0"/>
      <w:r>
        <w:t>Nearest Neighbours</w:t>
      </w:r>
    </w:p>
    <w:p w:rsidR="00E46D04" w:rsidRDefault="00E46D04" w:rsidP="00E46D04"/>
    <w:p w:rsidR="009F0B14" w:rsidRPr="009F0B14" w:rsidRDefault="009F0B14" w:rsidP="00194A91">
      <w:pPr>
        <w:rPr>
          <w:b/>
        </w:rPr>
      </w:pPr>
      <w:r>
        <w:rPr>
          <w:b/>
        </w:rPr>
        <w:t>Background</w:t>
      </w:r>
    </w:p>
    <w:p w:rsidR="009F0B14" w:rsidRDefault="009F0B14" w:rsidP="00194A91"/>
    <w:p w:rsidR="00194A91" w:rsidRDefault="00194A91" w:rsidP="00194A91">
      <w:r>
        <w:t xml:space="preserve">The Chartered Institute of Public Finance and Accountancy (CIPFA) </w:t>
      </w:r>
      <w:r w:rsidR="009F0B14">
        <w:t xml:space="preserve">Nearest Neighbours </w:t>
      </w:r>
      <w:r>
        <w:t>model seeks to measure similarity between Local Authorities. This is done by following the traditional ‘distance’ approach whereby a selection of variables (see below) is standardised (with a mean value of zero and a standard deviation of one) and the Euclidian distance between all possible pairs of local authorities is calculated</w:t>
      </w:r>
      <w:r>
        <w:rPr>
          <w:vertAlign w:val="superscript"/>
        </w:rPr>
        <w:t>1</w:t>
      </w:r>
      <w:r>
        <w:t>. These distances are then summed across every single subject and ‘rebased’ (by assigning a distance of 1 to the farthest neighbour meaning all overall distances will lie between zero and one) to calculate the final distance.</w:t>
      </w:r>
    </w:p>
    <w:p w:rsidR="00194A91" w:rsidRDefault="00194A91" w:rsidP="00194A91">
      <w:r>
        <w:rPr>
          <w:rFonts w:ascii="Calibri" w:eastAsia="Times New Roman" w:hAnsi="Calibri"/>
          <w:noProof/>
          <w:color w:val="000000"/>
          <w:lang w:eastAsia="en-GB"/>
        </w:rPr>
        <w:drawing>
          <wp:anchor distT="0" distB="0" distL="114300" distR="114300" simplePos="0" relativeHeight="251661312" behindDoc="0" locked="0" layoutInCell="1" allowOverlap="1" wp14:anchorId="5B02DF62" wp14:editId="18408D91">
            <wp:simplePos x="0" y="0"/>
            <wp:positionH relativeFrom="column">
              <wp:posOffset>1279525</wp:posOffset>
            </wp:positionH>
            <wp:positionV relativeFrom="paragraph">
              <wp:posOffset>6819900</wp:posOffset>
            </wp:positionV>
            <wp:extent cx="1152525" cy="542925"/>
            <wp:effectExtent l="0" t="0" r="9525" b="9525"/>
            <wp:wrapNone/>
            <wp:docPr id="3" name="Picture 3">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Lst>
                    </pic:cNvPr>
                    <pic:cNvPicPr>
                      <a:picLocks noChangeAspect="1"/>
                    </pic:cNvPicPr>
                  </pic:nvPicPr>
                  <pic:blipFill>
                    <a:blip r:embed="rId9"/>
                    <a:stretch>
                      <a:fillRect/>
                    </a:stretch>
                  </pic:blipFill>
                  <pic:spPr>
                    <a:xfrm>
                      <a:off x="0" y="0"/>
                      <a:ext cx="1152525" cy="542925"/>
                    </a:xfrm>
                    <a:prstGeom prst="rect">
                      <a:avLst/>
                    </a:prstGeom>
                  </pic:spPr>
                </pic:pic>
              </a:graphicData>
            </a:graphic>
            <wp14:sizeRelH relativeFrom="page">
              <wp14:pctWidth>0</wp14:pctWidth>
            </wp14:sizeRelH>
            <wp14:sizeRelV relativeFrom="page">
              <wp14:pctHeight>0</wp14:pctHeight>
            </wp14:sizeRelV>
          </wp:anchor>
        </w:drawing>
      </w:r>
    </w:p>
    <w:p w:rsidR="00194A91" w:rsidRDefault="00194A91" w:rsidP="00194A91">
      <w:r>
        <w:t>It should be noted that the output returned by these calculations is a simplistic way of presenting complex underlying data. Broadly speaking, the results are what might be expected, though the outcome ultimately relies on the indicators and mathematical procedures used.</w:t>
      </w:r>
    </w:p>
    <w:p w:rsidR="00194A91" w:rsidRDefault="00194A91" w:rsidP="00194A91"/>
    <w:p w:rsidR="00194A91" w:rsidRDefault="00194A91" w:rsidP="00194A91">
      <w:r>
        <w:t xml:space="preserve">For further information please see </w:t>
      </w:r>
      <w:hyperlink r:id="rId10" w:history="1">
        <w:r w:rsidRPr="00040AF9">
          <w:rPr>
            <w:rStyle w:val="Hyperlink"/>
          </w:rPr>
          <w:t>http://www.cipfastats.net/resources/nearestneighbours/</w:t>
        </w:r>
      </w:hyperlink>
      <w:r>
        <w:t xml:space="preserve">. </w:t>
      </w:r>
    </w:p>
    <w:p w:rsidR="006C7714" w:rsidRDefault="006C7714" w:rsidP="00194A91"/>
    <w:p w:rsidR="009F0B14" w:rsidRDefault="009F0B14" w:rsidP="00E94F7D">
      <w:pPr>
        <w:rPr>
          <w:b/>
        </w:rPr>
      </w:pPr>
      <w:r>
        <w:rPr>
          <w:b/>
        </w:rPr>
        <w:t>2018 model</w:t>
      </w:r>
    </w:p>
    <w:p w:rsidR="00E94F7D" w:rsidRPr="009F0B14" w:rsidRDefault="00E94F7D" w:rsidP="00E94F7D">
      <w:r w:rsidRPr="009F0B14">
        <w:t xml:space="preserve">CIPFA have updated their Nearest Neighbours Model in 2018, resulting in amended peer groups for local authorities. These new benchmarking groups have been implemented in Fingertips from </w:t>
      </w:r>
      <w:r w:rsidR="001E65E6">
        <w:t>April</w:t>
      </w:r>
      <w:r w:rsidRPr="009F0B14">
        <w:t xml:space="preserve"> 2018.</w:t>
      </w:r>
    </w:p>
    <w:p w:rsidR="009F0B14" w:rsidRPr="009F0B14" w:rsidRDefault="009F0B14" w:rsidP="00E94F7D"/>
    <w:p w:rsidR="009F0B14" w:rsidRDefault="00E94F7D" w:rsidP="00E94F7D">
      <w:r w:rsidRPr="009F0B14">
        <w:t xml:space="preserve">The CIPFA groups used in Fingertips are those provided by CIPFA as their “default” groupings – these include in benchmarking groups the 15 nearest neighbours selected only from local authorities of the same type. </w:t>
      </w:r>
    </w:p>
    <w:p w:rsidR="00E94F7D" w:rsidRPr="009F0B14" w:rsidRDefault="00E94F7D" w:rsidP="00E94F7D">
      <w:r w:rsidRPr="009F0B14">
        <w:t xml:space="preserve"> </w:t>
      </w:r>
    </w:p>
    <w:p w:rsidR="00E94F7D" w:rsidRPr="009F0B14" w:rsidRDefault="00E94F7D" w:rsidP="00E94F7D">
      <w:r w:rsidRPr="009F0B14">
        <w:lastRenderedPageBreak/>
        <w:t>For upper tier LA comparisons, LAs are only compared within one of these groups:</w:t>
      </w:r>
    </w:p>
    <w:p w:rsidR="00E94F7D" w:rsidRPr="009F0B14" w:rsidRDefault="00E94F7D" w:rsidP="00E94F7D">
      <w:r w:rsidRPr="009F0B14">
        <w:t>•</w:t>
      </w:r>
      <w:r w:rsidRPr="009F0B14">
        <w:tab/>
        <w:t>Counties</w:t>
      </w:r>
    </w:p>
    <w:p w:rsidR="00E94F7D" w:rsidRPr="009F0B14" w:rsidRDefault="00E94F7D" w:rsidP="00E94F7D">
      <w:r w:rsidRPr="009F0B14">
        <w:t>•</w:t>
      </w:r>
      <w:r w:rsidRPr="009F0B14">
        <w:tab/>
        <w:t>London boroughs</w:t>
      </w:r>
    </w:p>
    <w:p w:rsidR="00E94F7D" w:rsidRDefault="00E94F7D" w:rsidP="00E94F7D">
      <w:r w:rsidRPr="009F0B14">
        <w:t>•</w:t>
      </w:r>
      <w:r w:rsidRPr="009F0B14">
        <w:tab/>
        <w:t>All other unitary authorities (including metropolitan districts)</w:t>
      </w:r>
    </w:p>
    <w:p w:rsidR="009F0B14" w:rsidRPr="009F0B14" w:rsidRDefault="009F0B14" w:rsidP="00E94F7D"/>
    <w:p w:rsidR="00E94F7D" w:rsidRPr="009F0B14" w:rsidRDefault="00E94F7D" w:rsidP="00E94F7D">
      <w:r w:rsidRPr="009F0B14">
        <w:t>For lower tier LA comparisons, LAs are only compared within one of these groups:</w:t>
      </w:r>
    </w:p>
    <w:p w:rsidR="00E94F7D" w:rsidRPr="009F0B14" w:rsidRDefault="00E94F7D" w:rsidP="00E94F7D">
      <w:r w:rsidRPr="009F0B14">
        <w:t>•</w:t>
      </w:r>
      <w:r w:rsidRPr="009F0B14">
        <w:tab/>
        <w:t>Non-metropolitan districts</w:t>
      </w:r>
    </w:p>
    <w:p w:rsidR="00E94F7D" w:rsidRPr="009F0B14" w:rsidRDefault="00E94F7D" w:rsidP="00E94F7D">
      <w:r w:rsidRPr="009F0B14">
        <w:t>•</w:t>
      </w:r>
      <w:r w:rsidRPr="009F0B14">
        <w:tab/>
        <w:t>London boroughs</w:t>
      </w:r>
    </w:p>
    <w:p w:rsidR="00E94F7D" w:rsidRPr="009F0B14" w:rsidRDefault="00E94F7D" w:rsidP="00E94F7D">
      <w:r w:rsidRPr="009F0B14">
        <w:t>•</w:t>
      </w:r>
      <w:r w:rsidRPr="009F0B14">
        <w:tab/>
        <w:t>All other unitary authorities (including metropolitan districts)</w:t>
      </w:r>
    </w:p>
    <w:p w:rsidR="00E94F7D" w:rsidRPr="009F0B14" w:rsidRDefault="00E94F7D" w:rsidP="00E94F7D"/>
    <w:p w:rsidR="00E94F7D" w:rsidRPr="009F0B14" w:rsidRDefault="00E94F7D" w:rsidP="00E94F7D">
      <w:r w:rsidRPr="009F0B14">
        <w:t>The CIPFA model allows selection of the indicators used to define the benchmarking groups, but again the groups used in Fingertips are those based on the “default” selection of indicators.  These are:</w:t>
      </w:r>
    </w:p>
    <w:p w:rsidR="00E94F7D" w:rsidRPr="009F0B14" w:rsidRDefault="00E94F7D" w:rsidP="00E94F7D">
      <w:r w:rsidRPr="009F0B14">
        <w:t>•</w:t>
      </w:r>
      <w:r w:rsidRPr="009F0B14">
        <w:tab/>
        <w:t>Population</w:t>
      </w:r>
    </w:p>
    <w:p w:rsidR="00E94F7D" w:rsidRPr="009F0B14" w:rsidRDefault="00E94F7D" w:rsidP="00E94F7D">
      <w:r w:rsidRPr="009F0B14">
        <w:t>•</w:t>
      </w:r>
      <w:r w:rsidRPr="009F0B14">
        <w:tab/>
        <w:t xml:space="preserve">Proportion of population aged </w:t>
      </w:r>
      <w:r w:rsidR="001E65E6">
        <w:t>0 to 17</w:t>
      </w:r>
    </w:p>
    <w:p w:rsidR="00E94F7D" w:rsidRPr="009F0B14" w:rsidRDefault="00E94F7D" w:rsidP="00E94F7D">
      <w:r w:rsidRPr="009F0B14">
        <w:t>•</w:t>
      </w:r>
      <w:r w:rsidRPr="009F0B14">
        <w:tab/>
        <w:t>Proportion of population aged 75 to 84</w:t>
      </w:r>
    </w:p>
    <w:p w:rsidR="00E94F7D" w:rsidRPr="009F0B14" w:rsidRDefault="00E94F7D" w:rsidP="00E94F7D">
      <w:r w:rsidRPr="009F0B14">
        <w:t>•</w:t>
      </w:r>
      <w:r w:rsidRPr="009F0B14">
        <w:tab/>
        <w:t>Proportion of population of working age</w:t>
      </w:r>
    </w:p>
    <w:p w:rsidR="00E94F7D" w:rsidRPr="009F0B14" w:rsidRDefault="00E94F7D" w:rsidP="00E94F7D">
      <w:r w:rsidRPr="009F0B14">
        <w:t>•</w:t>
      </w:r>
      <w:r w:rsidRPr="009F0B14">
        <w:tab/>
        <w:t>Output area density</w:t>
      </w:r>
    </w:p>
    <w:p w:rsidR="00E94F7D" w:rsidRPr="009F0B14" w:rsidRDefault="001E65E6" w:rsidP="00E94F7D">
      <w:r>
        <w:t>•</w:t>
      </w:r>
      <w:r>
        <w:tab/>
        <w:t>Output area based spars</w:t>
      </w:r>
      <w:r w:rsidR="00E94F7D" w:rsidRPr="009F0B14">
        <w:t>ity</w:t>
      </w:r>
    </w:p>
    <w:p w:rsidR="00E94F7D" w:rsidRPr="009F0B14" w:rsidRDefault="00E94F7D" w:rsidP="00E94F7D">
      <w:r w:rsidRPr="009F0B14">
        <w:t>•</w:t>
      </w:r>
      <w:r w:rsidRPr="009F0B14">
        <w:tab/>
      </w:r>
      <w:proofErr w:type="spellStart"/>
      <w:r w:rsidRPr="009F0B14">
        <w:t>Taxbase</w:t>
      </w:r>
      <w:proofErr w:type="spellEnd"/>
      <w:r w:rsidRPr="009F0B14">
        <w:t xml:space="preserve"> per head of population</w:t>
      </w:r>
    </w:p>
    <w:p w:rsidR="00E94F7D" w:rsidRPr="009F0B14" w:rsidRDefault="00E94F7D" w:rsidP="00E94F7D">
      <w:r w:rsidRPr="009F0B14">
        <w:t>•</w:t>
      </w:r>
      <w:r w:rsidRPr="009F0B14">
        <w:tab/>
        <w:t>P</w:t>
      </w:r>
      <w:r w:rsidR="001E65E6">
        <w:t>roportion</w:t>
      </w:r>
      <w:r w:rsidRPr="009F0B14">
        <w:t xml:space="preserve"> of population unemployed</w:t>
      </w:r>
    </w:p>
    <w:p w:rsidR="00E94F7D" w:rsidRPr="009F0B14" w:rsidRDefault="00E94F7D" w:rsidP="00E94F7D">
      <w:r w:rsidRPr="009F0B14">
        <w:t>•</w:t>
      </w:r>
      <w:r w:rsidRPr="009F0B14">
        <w:tab/>
      </w:r>
      <w:r w:rsidR="001E65E6">
        <w:t>R</w:t>
      </w:r>
      <w:r w:rsidRPr="009F0B14">
        <w:t>etail premises</w:t>
      </w:r>
      <w:r w:rsidR="001E65E6">
        <w:t xml:space="preserve"> (m</w:t>
      </w:r>
      <w:r w:rsidR="001E65E6" w:rsidRPr="00133F79">
        <w:rPr>
          <w:vertAlign w:val="superscript"/>
        </w:rPr>
        <w:t>2</w:t>
      </w:r>
      <w:r w:rsidR="001E65E6">
        <w:t>)</w:t>
      </w:r>
      <w:r w:rsidRPr="009F0B14">
        <w:t xml:space="preserve"> per 1,000 </w:t>
      </w:r>
      <w:proofErr w:type="gramStart"/>
      <w:r w:rsidRPr="009F0B14">
        <w:t>population</w:t>
      </w:r>
      <w:proofErr w:type="gramEnd"/>
    </w:p>
    <w:p w:rsidR="00E94F7D" w:rsidRPr="009F0B14" w:rsidRDefault="00E94F7D" w:rsidP="00E94F7D">
      <w:r w:rsidRPr="009F0B14">
        <w:t>•</w:t>
      </w:r>
      <w:r w:rsidRPr="009F0B14">
        <w:tab/>
      </w:r>
      <w:r w:rsidR="009141D2">
        <w:t xml:space="preserve">Housing benefit caseload </w:t>
      </w:r>
      <w:r w:rsidR="009141D2" w:rsidRPr="009141D2">
        <w:t>(</w:t>
      </w:r>
      <w:r w:rsidRPr="009141D2">
        <w:t>Proportion of population in receipt of housing benefit</w:t>
      </w:r>
      <w:r w:rsidR="009141D2" w:rsidRPr="009141D2">
        <w:t>)</w:t>
      </w:r>
    </w:p>
    <w:p w:rsidR="00E94F7D" w:rsidRPr="009F0B14" w:rsidRDefault="00E94F7D" w:rsidP="00E94F7D">
      <w:r w:rsidRPr="009F0B14">
        <w:t>•</w:t>
      </w:r>
      <w:r w:rsidRPr="009F0B14">
        <w:tab/>
        <w:t>Proportion of population born outside the UK and Ireland</w:t>
      </w:r>
    </w:p>
    <w:p w:rsidR="00E94F7D" w:rsidRPr="009F0B14" w:rsidRDefault="00E94F7D" w:rsidP="00E94F7D">
      <w:r w:rsidRPr="009F0B14">
        <w:t>•</w:t>
      </w:r>
      <w:r w:rsidRPr="009F0B14">
        <w:tab/>
        <w:t xml:space="preserve">Proportion of households with </w:t>
      </w:r>
      <w:r w:rsidR="001E65E6">
        <w:t>less</w:t>
      </w:r>
      <w:r w:rsidRPr="009F0B14">
        <w:t xml:space="preserve"> than four rooms</w:t>
      </w:r>
    </w:p>
    <w:p w:rsidR="00E94F7D" w:rsidRPr="009F0B14" w:rsidRDefault="00E94F7D" w:rsidP="00E94F7D">
      <w:r w:rsidRPr="009F0B14">
        <w:t>•</w:t>
      </w:r>
      <w:r w:rsidRPr="009F0B14">
        <w:tab/>
        <w:t>Proportion of households in social rented accommodation</w:t>
      </w:r>
    </w:p>
    <w:p w:rsidR="00E94F7D" w:rsidRPr="009F0B14" w:rsidRDefault="00E94F7D" w:rsidP="00E94F7D">
      <w:r w:rsidRPr="009F0B14">
        <w:t>•</w:t>
      </w:r>
      <w:r w:rsidRPr="009F0B14">
        <w:tab/>
        <w:t>Proportion of persons in lower NS-SEC (social) groups</w:t>
      </w:r>
    </w:p>
    <w:p w:rsidR="00E94F7D" w:rsidRPr="009F0B14" w:rsidRDefault="00E94F7D" w:rsidP="00E94F7D">
      <w:r w:rsidRPr="009F0B14">
        <w:t>•</w:t>
      </w:r>
      <w:r w:rsidRPr="009F0B14">
        <w:tab/>
        <w:t>Standardised mortality ratio for all persons</w:t>
      </w:r>
    </w:p>
    <w:p w:rsidR="00E94F7D" w:rsidRPr="00E94F7D" w:rsidRDefault="00E94F7D" w:rsidP="00E94F7D">
      <w:pPr>
        <w:rPr>
          <w:b/>
        </w:rPr>
      </w:pPr>
      <w:r w:rsidRPr="009F0B14">
        <w:t>•</w:t>
      </w:r>
      <w:r w:rsidRPr="009F0B14">
        <w:tab/>
        <w:t>Authorities with coast protection expenditure</w:t>
      </w:r>
    </w:p>
    <w:p w:rsidR="00E94F7D" w:rsidRPr="009F0B14" w:rsidRDefault="00E94F7D" w:rsidP="00E94F7D">
      <w:r w:rsidRPr="009F0B14">
        <w:t>•</w:t>
      </w:r>
      <w:r w:rsidRPr="009F0B14">
        <w:tab/>
        <w:t>Non-domestic rateable value per head of population</w:t>
      </w:r>
    </w:p>
    <w:p w:rsidR="00E94F7D" w:rsidRPr="009F0B14" w:rsidRDefault="00E94F7D" w:rsidP="00E94F7D">
      <w:r w:rsidRPr="009F0B14">
        <w:lastRenderedPageBreak/>
        <w:t>•</w:t>
      </w:r>
      <w:r w:rsidRPr="009F0B14">
        <w:tab/>
        <w:t>Proportion of properties in council tax bands A to D</w:t>
      </w:r>
    </w:p>
    <w:p w:rsidR="00E94F7D" w:rsidRPr="009F0B14" w:rsidRDefault="00E94F7D" w:rsidP="00E94F7D">
      <w:r w:rsidRPr="009F0B14">
        <w:t>•</w:t>
      </w:r>
      <w:r w:rsidRPr="009F0B14">
        <w:tab/>
        <w:t>Proportion of properties in council tax bands E to H</w:t>
      </w:r>
    </w:p>
    <w:p w:rsidR="00E94F7D" w:rsidRDefault="00E94F7D" w:rsidP="00E94F7D">
      <w:pPr>
        <w:rPr>
          <w:b/>
        </w:rPr>
      </w:pPr>
      <w:r w:rsidRPr="009F0B14">
        <w:t>•</w:t>
      </w:r>
      <w:r w:rsidRPr="009F0B14">
        <w:tab/>
        <w:t>Area cost adjustment (other services block</w:t>
      </w:r>
      <w:r w:rsidRPr="00E94F7D">
        <w:rPr>
          <w:b/>
        </w:rPr>
        <w:t>)</w:t>
      </w:r>
    </w:p>
    <w:p w:rsidR="00E94F7D" w:rsidRDefault="00E94F7D" w:rsidP="00194A91">
      <w:pPr>
        <w:rPr>
          <w:b/>
        </w:rPr>
      </w:pPr>
    </w:p>
    <w:p w:rsidR="009F0B14" w:rsidRPr="005458CC" w:rsidRDefault="009F0B14" w:rsidP="009F0B14">
      <w:r w:rsidRPr="009F0B14">
        <w:rPr>
          <w:vertAlign w:val="superscript"/>
        </w:rPr>
        <w:t>1</w:t>
      </w:r>
      <w:r>
        <w:t xml:space="preserve"> – Euclidian distance (X, Y</w:t>
      </w:r>
      <w:proofErr w:type="gramStart"/>
      <w:r>
        <w:t>)  =</w:t>
      </w:r>
      <w:proofErr w:type="gramEnd"/>
      <w:r>
        <w:t xml:space="preserve"> </w:t>
      </w:r>
      <m:oMath>
        <m:rad>
          <m:radPr>
            <m:degHide m:val="1"/>
            <m:ctrlPr>
              <w:rPr>
                <w:rFonts w:ascii="Cambria Math" w:hAnsi="Cambria Math"/>
                <w:i/>
              </w:rPr>
            </m:ctrlPr>
          </m:radPr>
          <m:deg/>
          <m:e>
            <m:nary>
              <m:naryPr>
                <m:chr m:val="∑"/>
                <m:limLoc m:val="undOvr"/>
                <m:supHide m:val="1"/>
                <m:ctrlPr>
                  <w:rPr>
                    <w:rFonts w:ascii="Cambria Math" w:hAnsi="Cambria Math"/>
                    <w:i/>
                  </w:rPr>
                </m:ctrlPr>
              </m:naryPr>
              <m:sub>
                <m:r>
                  <w:rPr>
                    <w:rFonts w:ascii="Cambria Math" w:hAnsi="Cambria Math"/>
                  </w:rPr>
                  <m:t>i</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2</m:t>
                    </m:r>
                  </m:sup>
                </m:sSup>
              </m:e>
            </m:nary>
          </m:e>
        </m:rad>
      </m:oMath>
    </w:p>
    <w:p w:rsidR="00E94F7D" w:rsidRDefault="00E94F7D" w:rsidP="00194A91">
      <w:pPr>
        <w:rPr>
          <w:b/>
        </w:rPr>
      </w:pPr>
    </w:p>
    <w:p w:rsidR="009F0B14" w:rsidRDefault="009F0B14" w:rsidP="00194A91">
      <w:pPr>
        <w:rPr>
          <w:b/>
        </w:rPr>
      </w:pPr>
    </w:p>
    <w:p w:rsidR="009F0B14" w:rsidRDefault="009F0B14" w:rsidP="00194A91">
      <w:pPr>
        <w:rPr>
          <w:b/>
        </w:rPr>
      </w:pPr>
    </w:p>
    <w:p w:rsidR="0057662F" w:rsidRPr="00E46D04" w:rsidRDefault="0057662F" w:rsidP="00E46D04"/>
    <w:sectPr w:rsidR="0057662F" w:rsidRPr="00E46D04" w:rsidSect="00194A91">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pgMar w:top="1021" w:right="892" w:bottom="1021" w:left="1134" w:header="1135"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73" w:rsidRDefault="00E27B73" w:rsidP="00AD2F73">
      <w:r>
        <w:separator/>
      </w:r>
    </w:p>
  </w:endnote>
  <w:endnote w:type="continuationSeparator" w:id="0">
    <w:p w:rsidR="00E27B73" w:rsidRDefault="00E27B73"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84" w:rsidRDefault="00936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B3" w:rsidRPr="006A115E" w:rsidRDefault="00315AB3" w:rsidP="006A115E">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133F79">
      <w:rPr>
        <w:noProof/>
        <w:sz w:val="20"/>
        <w:szCs w:val="20"/>
      </w:rPr>
      <w:t>2</w:t>
    </w:r>
    <w:r w:rsidRPr="005E4A5D">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B3" w:rsidRPr="005E4A5D" w:rsidRDefault="00315AB3" w:rsidP="005E4A5D">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133F79">
      <w:rPr>
        <w:noProof/>
        <w:sz w:val="20"/>
        <w:szCs w:val="20"/>
      </w:rPr>
      <w:t>1</w:t>
    </w:r>
    <w:r w:rsidRPr="005E4A5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73" w:rsidRDefault="00E27B73" w:rsidP="00AD2F73">
      <w:r>
        <w:separator/>
      </w:r>
    </w:p>
  </w:footnote>
  <w:footnote w:type="continuationSeparator" w:id="0">
    <w:p w:rsidR="00E27B73" w:rsidRDefault="00E27B73" w:rsidP="00AD2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84" w:rsidRDefault="00936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84" w:rsidRDefault="00936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B3" w:rsidRDefault="00E27B73" w:rsidP="00AD2F73">
    <w:pPr>
      <w:pStyle w:val="Header"/>
    </w:pPr>
    <w:r>
      <w:rPr>
        <w:noProof/>
        <w:lang w:eastAsia="en-GB"/>
      </w:rPr>
      <w:drawing>
        <wp:anchor distT="0" distB="0" distL="114300" distR="114300" simplePos="0" relativeHeight="251657728" behindDoc="0" locked="0" layoutInCell="1" allowOverlap="1" wp14:anchorId="50BC37CB" wp14:editId="5FB5442E">
          <wp:simplePos x="0" y="0"/>
          <wp:positionH relativeFrom="column">
            <wp:posOffset>-648335</wp:posOffset>
          </wp:positionH>
          <wp:positionV relativeFrom="paragraph">
            <wp:posOffset>-732155</wp:posOffset>
          </wp:positionV>
          <wp:extent cx="4065270" cy="2007870"/>
          <wp:effectExtent l="0" t="0" r="0" b="0"/>
          <wp:wrapTopAndBottom/>
          <wp:docPr id="1" name="Picture 2"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77DD3"/>
    <w:multiLevelType w:val="hybridMultilevel"/>
    <w:tmpl w:val="CDC6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e Fitzpatrick">
    <w15:presenceInfo w15:providerId="AD" w15:userId="S-1-5-21-3685816821-1215056363-1987234180-8417"/>
  </w15:person>
  <w15:person w15:author="David Jephson">
    <w15:presenceInfo w15:providerId="AD" w15:userId="S-1-5-21-3685816821-1215056363-1987234180-9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73"/>
    <w:rsid w:val="0001276E"/>
    <w:rsid w:val="000742C2"/>
    <w:rsid w:val="00096FFC"/>
    <w:rsid w:val="000C50FB"/>
    <w:rsid w:val="000D5B3F"/>
    <w:rsid w:val="000E193A"/>
    <w:rsid w:val="000E4865"/>
    <w:rsid w:val="00133F79"/>
    <w:rsid w:val="00151D61"/>
    <w:rsid w:val="00154084"/>
    <w:rsid w:val="0019479C"/>
    <w:rsid w:val="00194A91"/>
    <w:rsid w:val="001E65E6"/>
    <w:rsid w:val="001F6988"/>
    <w:rsid w:val="002111C8"/>
    <w:rsid w:val="00237976"/>
    <w:rsid w:val="00270D62"/>
    <w:rsid w:val="002C2E25"/>
    <w:rsid w:val="00303D9F"/>
    <w:rsid w:val="00315AB3"/>
    <w:rsid w:val="00364873"/>
    <w:rsid w:val="00394631"/>
    <w:rsid w:val="003A000A"/>
    <w:rsid w:val="003B3383"/>
    <w:rsid w:val="003F071F"/>
    <w:rsid w:val="003F66F5"/>
    <w:rsid w:val="00411FD9"/>
    <w:rsid w:val="00415F3E"/>
    <w:rsid w:val="00425B35"/>
    <w:rsid w:val="004B70A8"/>
    <w:rsid w:val="00517170"/>
    <w:rsid w:val="005342B6"/>
    <w:rsid w:val="00546405"/>
    <w:rsid w:val="005629A6"/>
    <w:rsid w:val="0057662F"/>
    <w:rsid w:val="00576873"/>
    <w:rsid w:val="005B0D4C"/>
    <w:rsid w:val="005B2384"/>
    <w:rsid w:val="005C6114"/>
    <w:rsid w:val="005E4A5D"/>
    <w:rsid w:val="006200D6"/>
    <w:rsid w:val="00636A73"/>
    <w:rsid w:val="0066498D"/>
    <w:rsid w:val="00677382"/>
    <w:rsid w:val="006778CF"/>
    <w:rsid w:val="00696F5B"/>
    <w:rsid w:val="006A115E"/>
    <w:rsid w:val="006B1EEC"/>
    <w:rsid w:val="006B42FE"/>
    <w:rsid w:val="006C7714"/>
    <w:rsid w:val="006D3FD0"/>
    <w:rsid w:val="00713811"/>
    <w:rsid w:val="007403F6"/>
    <w:rsid w:val="0075105C"/>
    <w:rsid w:val="00757153"/>
    <w:rsid w:val="00780F04"/>
    <w:rsid w:val="007C460C"/>
    <w:rsid w:val="007D6212"/>
    <w:rsid w:val="007E1EE0"/>
    <w:rsid w:val="007E5FEC"/>
    <w:rsid w:val="007E6EB2"/>
    <w:rsid w:val="00844C9D"/>
    <w:rsid w:val="00850E60"/>
    <w:rsid w:val="00864BA5"/>
    <w:rsid w:val="008801D5"/>
    <w:rsid w:val="00891799"/>
    <w:rsid w:val="00893C64"/>
    <w:rsid w:val="008A34C2"/>
    <w:rsid w:val="008D6BA4"/>
    <w:rsid w:val="008F3AC3"/>
    <w:rsid w:val="00900854"/>
    <w:rsid w:val="009141D2"/>
    <w:rsid w:val="00925D4B"/>
    <w:rsid w:val="0093425F"/>
    <w:rsid w:val="00936684"/>
    <w:rsid w:val="009F0B14"/>
    <w:rsid w:val="009F0B27"/>
    <w:rsid w:val="00A053AE"/>
    <w:rsid w:val="00A13920"/>
    <w:rsid w:val="00AB7020"/>
    <w:rsid w:val="00AD2F73"/>
    <w:rsid w:val="00B359C6"/>
    <w:rsid w:val="00BE3227"/>
    <w:rsid w:val="00BF13D8"/>
    <w:rsid w:val="00BF28E3"/>
    <w:rsid w:val="00C04FC0"/>
    <w:rsid w:val="00C20E27"/>
    <w:rsid w:val="00C62D09"/>
    <w:rsid w:val="00C6305C"/>
    <w:rsid w:val="00CB5ABF"/>
    <w:rsid w:val="00CD17CE"/>
    <w:rsid w:val="00CD1E9C"/>
    <w:rsid w:val="00CD39A5"/>
    <w:rsid w:val="00D24ECB"/>
    <w:rsid w:val="00E13E23"/>
    <w:rsid w:val="00E14D00"/>
    <w:rsid w:val="00E27B73"/>
    <w:rsid w:val="00E46D04"/>
    <w:rsid w:val="00E70004"/>
    <w:rsid w:val="00E7584C"/>
    <w:rsid w:val="00E7633A"/>
    <w:rsid w:val="00E94F7D"/>
    <w:rsid w:val="00EB260A"/>
    <w:rsid w:val="00EB3E86"/>
    <w:rsid w:val="00F65D29"/>
    <w:rsid w:val="00FD0D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AD2F73"/>
    <w:pPr>
      <w:spacing w:line="320" w:lineRule="exact"/>
    </w:pPr>
    <w:rPr>
      <w:rFonts w:ascii="Arial" w:hAnsi="Arial"/>
      <w:sz w:val="24"/>
      <w:szCs w:val="24"/>
      <w:lang w:eastAsia="en-US"/>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character" w:styleId="Hyperlink">
    <w:name w:val="Hyperlink"/>
    <w:basedOn w:val="DefaultParagraphFont"/>
    <w:uiPriority w:val="99"/>
    <w:unhideWhenUsed/>
    <w:rsid w:val="00194A91"/>
    <w:rPr>
      <w:color w:val="0000FF"/>
      <w:u w:val="single"/>
    </w:rPr>
  </w:style>
  <w:style w:type="table" w:styleId="TableGrid">
    <w:name w:val="Table Grid"/>
    <w:basedOn w:val="TableNormal"/>
    <w:uiPriority w:val="59"/>
    <w:rsid w:val="00194A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F0B14"/>
    <w:pPr>
      <w:spacing w:line="240" w:lineRule="auto"/>
    </w:pPr>
    <w:rPr>
      <w:sz w:val="20"/>
      <w:szCs w:val="20"/>
    </w:rPr>
  </w:style>
  <w:style w:type="character" w:customStyle="1" w:styleId="EndnoteTextChar">
    <w:name w:val="Endnote Text Char"/>
    <w:basedOn w:val="DefaultParagraphFont"/>
    <w:link w:val="EndnoteText"/>
    <w:uiPriority w:val="99"/>
    <w:semiHidden/>
    <w:rsid w:val="009F0B14"/>
    <w:rPr>
      <w:rFonts w:ascii="Arial" w:hAnsi="Arial"/>
      <w:lang w:eastAsia="en-US"/>
    </w:rPr>
  </w:style>
  <w:style w:type="character" w:styleId="EndnoteReference">
    <w:name w:val="endnote reference"/>
    <w:basedOn w:val="DefaultParagraphFont"/>
    <w:uiPriority w:val="99"/>
    <w:semiHidden/>
    <w:unhideWhenUsed/>
    <w:rsid w:val="009F0B14"/>
    <w:rPr>
      <w:vertAlign w:val="superscript"/>
    </w:rPr>
  </w:style>
  <w:style w:type="character" w:styleId="FollowedHyperlink">
    <w:name w:val="FollowedHyperlink"/>
    <w:basedOn w:val="DefaultParagraphFont"/>
    <w:uiPriority w:val="99"/>
    <w:semiHidden/>
    <w:unhideWhenUsed/>
    <w:rsid w:val="001E65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AD2F73"/>
    <w:pPr>
      <w:spacing w:line="320" w:lineRule="exact"/>
    </w:pPr>
    <w:rPr>
      <w:rFonts w:ascii="Arial" w:hAnsi="Arial"/>
      <w:sz w:val="24"/>
      <w:szCs w:val="24"/>
      <w:lang w:eastAsia="en-US"/>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character" w:styleId="Hyperlink">
    <w:name w:val="Hyperlink"/>
    <w:basedOn w:val="DefaultParagraphFont"/>
    <w:uiPriority w:val="99"/>
    <w:unhideWhenUsed/>
    <w:rsid w:val="00194A91"/>
    <w:rPr>
      <w:color w:val="0000FF"/>
      <w:u w:val="single"/>
    </w:rPr>
  </w:style>
  <w:style w:type="table" w:styleId="TableGrid">
    <w:name w:val="Table Grid"/>
    <w:basedOn w:val="TableNormal"/>
    <w:uiPriority w:val="59"/>
    <w:rsid w:val="00194A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F0B14"/>
    <w:pPr>
      <w:spacing w:line="240" w:lineRule="auto"/>
    </w:pPr>
    <w:rPr>
      <w:sz w:val="20"/>
      <w:szCs w:val="20"/>
    </w:rPr>
  </w:style>
  <w:style w:type="character" w:customStyle="1" w:styleId="EndnoteTextChar">
    <w:name w:val="Endnote Text Char"/>
    <w:basedOn w:val="DefaultParagraphFont"/>
    <w:link w:val="EndnoteText"/>
    <w:uiPriority w:val="99"/>
    <w:semiHidden/>
    <w:rsid w:val="009F0B14"/>
    <w:rPr>
      <w:rFonts w:ascii="Arial" w:hAnsi="Arial"/>
      <w:lang w:eastAsia="en-US"/>
    </w:rPr>
  </w:style>
  <w:style w:type="character" w:styleId="EndnoteReference">
    <w:name w:val="endnote reference"/>
    <w:basedOn w:val="DefaultParagraphFont"/>
    <w:uiPriority w:val="99"/>
    <w:semiHidden/>
    <w:unhideWhenUsed/>
    <w:rsid w:val="009F0B14"/>
    <w:rPr>
      <w:vertAlign w:val="superscript"/>
    </w:rPr>
  </w:style>
  <w:style w:type="character" w:styleId="FollowedHyperlink">
    <w:name w:val="FollowedHyperlink"/>
    <w:basedOn w:val="DefaultParagraphFont"/>
    <w:uiPriority w:val="99"/>
    <w:semiHidden/>
    <w:unhideWhenUsed/>
    <w:rsid w:val="001E6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ipfastats.net/resources/nearestneighbour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coyle\Downloads\Plain-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9403A-40B7-4615-9FCC-322F2E43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Plain-document (1)</Template>
  <TotalTime>1</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Plain document</vt:lpstr>
    </vt:vector>
  </TitlesOfParts>
  <Company/>
  <LinksUpToDate>false</LinksUpToDate>
  <CharactersWithSpaces>3095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Nicholas Coyle</dc:creator>
  <cp:lastModifiedBy>Anita Brock</cp:lastModifiedBy>
  <cp:revision>3</cp:revision>
  <dcterms:created xsi:type="dcterms:W3CDTF">2018-03-26T14:30:00Z</dcterms:created>
  <dcterms:modified xsi:type="dcterms:W3CDTF">2018-03-27T08:24:00Z</dcterms:modified>
</cp:coreProperties>
</file>