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0341" w14:textId="77777777" w:rsidR="00C94638" w:rsidRDefault="00D371C5" w:rsidP="003260C0">
      <w:pPr>
        <w:spacing w:line="240" w:lineRule="atLeast"/>
        <w:outlineLvl w:val="0"/>
        <w:rPr>
          <w:rStyle w:val="PHEFrontpagemaintitle"/>
        </w:rPr>
      </w:pPr>
      <w:r>
        <w:rPr>
          <w:rStyle w:val="PHEFrontpagemaintitle"/>
        </w:rPr>
        <w:t xml:space="preserve">Public Health Dashboard </w:t>
      </w:r>
    </w:p>
    <w:p w14:paraId="37447AF1" w14:textId="7F67AEEC" w:rsidR="000D6412" w:rsidRDefault="00C94638" w:rsidP="003260C0">
      <w:pPr>
        <w:spacing w:line="240" w:lineRule="atLeast"/>
        <w:outlineLvl w:val="0"/>
        <w:rPr>
          <w:rStyle w:val="PHEFrontpagemaintitle"/>
        </w:rPr>
      </w:pPr>
      <w:r>
        <w:rPr>
          <w:rStyle w:val="PHEFrontpagemaintitle"/>
        </w:rPr>
        <w:t xml:space="preserve">Summary of </w:t>
      </w:r>
      <w:r w:rsidR="00D371C5">
        <w:rPr>
          <w:rStyle w:val="PHEFrontpagemaintitle"/>
        </w:rPr>
        <w:t xml:space="preserve">feedback </w:t>
      </w:r>
      <w:r>
        <w:rPr>
          <w:rStyle w:val="PHEFrontpagemaintitle"/>
        </w:rPr>
        <w:t>received and next steps</w:t>
      </w:r>
    </w:p>
    <w:p w14:paraId="340831C1" w14:textId="77777777" w:rsidR="00C94638" w:rsidRPr="003B364D" w:rsidRDefault="00C94638" w:rsidP="003260C0">
      <w:pPr>
        <w:spacing w:line="240" w:lineRule="atLeast"/>
        <w:outlineLvl w:val="0"/>
        <w:rPr>
          <w:rStyle w:val="PHEFrontpagemaintitle"/>
        </w:rPr>
      </w:pPr>
    </w:p>
    <w:p w14:paraId="592D39F4" w14:textId="6883A2B3" w:rsidR="000D6412" w:rsidRPr="00846C43" w:rsidRDefault="008D0807" w:rsidP="003260C0">
      <w:pPr>
        <w:spacing w:line="240" w:lineRule="atLeast"/>
        <w:outlineLvl w:val="0"/>
        <w:rPr>
          <w:rStyle w:val="PHEFrontpagetitlesecondlevel"/>
        </w:rPr>
      </w:pPr>
      <w:r>
        <w:rPr>
          <w:rStyle w:val="PHEFrontpagetitlesecondlevel"/>
        </w:rPr>
        <w:t xml:space="preserve">May </w:t>
      </w:r>
      <w:r w:rsidR="00D371C5">
        <w:rPr>
          <w:rStyle w:val="PHEFrontpagetitlesecondlevel"/>
        </w:rPr>
        <w:t>2018</w:t>
      </w:r>
    </w:p>
    <w:p w14:paraId="37152DA4" w14:textId="77777777" w:rsidR="000D6412" w:rsidRPr="003B364D" w:rsidRDefault="000D6412" w:rsidP="003260C0">
      <w:pPr>
        <w:pStyle w:val="PHEBodycopy"/>
        <w:spacing w:line="240" w:lineRule="atLeast"/>
      </w:pPr>
    </w:p>
    <w:p w14:paraId="4284CAEA" w14:textId="77777777" w:rsidR="007B65C9" w:rsidRPr="009E3727" w:rsidRDefault="008B566F" w:rsidP="003260C0">
      <w:pPr>
        <w:pStyle w:val="PHEFrontpagesubtitle"/>
        <w:spacing w:line="240" w:lineRule="atLeast"/>
        <w:sectPr w:rsidR="007B65C9" w:rsidRPr="009E3727" w:rsidSect="008F3568">
          <w:footerReference w:type="even" r:id="rId12"/>
          <w:footerReference w:type="default" r:id="rId13"/>
          <w:headerReference w:type="first" r:id="rId14"/>
          <w:footerReference w:type="first" r:id="rId15"/>
          <w:pgSz w:w="11906" w:h="16838" w:code="9"/>
          <w:pgMar w:top="5065" w:right="1134" w:bottom="1134" w:left="1134" w:header="720" w:footer="720" w:gutter="0"/>
          <w:cols w:space="720"/>
          <w:titlePg/>
        </w:sectPr>
      </w:pPr>
      <w:r>
        <w:t xml:space="preserve">  </w:t>
      </w:r>
    </w:p>
    <w:p w14:paraId="0862FFBA" w14:textId="7C3151F5" w:rsidR="00D371C5" w:rsidRDefault="00D371C5" w:rsidP="003260C0">
      <w:pPr>
        <w:spacing w:line="240" w:lineRule="atLeast"/>
        <w:rPr>
          <w:rStyle w:val="PHEFrontpagemaintitle"/>
          <w:b w:val="0"/>
          <w:sz w:val="48"/>
          <w:szCs w:val="48"/>
        </w:rPr>
      </w:pPr>
      <w:r w:rsidRPr="00D371C5">
        <w:rPr>
          <w:rStyle w:val="PHEFrontpagemaintitle"/>
          <w:b w:val="0"/>
          <w:sz w:val="48"/>
          <w:szCs w:val="48"/>
        </w:rPr>
        <w:lastRenderedPageBreak/>
        <w:t>Introduction</w:t>
      </w:r>
    </w:p>
    <w:p w14:paraId="58F92BB4" w14:textId="77777777" w:rsidR="00D371C5" w:rsidRPr="004218E6" w:rsidRDefault="00D371C5" w:rsidP="003260C0">
      <w:pPr>
        <w:spacing w:line="240" w:lineRule="atLeast"/>
        <w:rPr>
          <w:rStyle w:val="PHEFrontpagemaintitle"/>
          <w:b w:val="0"/>
          <w:sz w:val="24"/>
          <w:szCs w:val="24"/>
        </w:rPr>
      </w:pPr>
    </w:p>
    <w:p w14:paraId="6A0E8DE0" w14:textId="2958A64E" w:rsidR="00D371C5" w:rsidRDefault="00D371C5" w:rsidP="00F92801">
      <w:pPr>
        <w:spacing w:line="276" w:lineRule="auto"/>
        <w:rPr>
          <w:szCs w:val="24"/>
        </w:rPr>
      </w:pPr>
      <w:r>
        <w:rPr>
          <w:szCs w:val="24"/>
        </w:rPr>
        <w:t xml:space="preserve">The Public Health Dashboard </w:t>
      </w:r>
      <w:r w:rsidR="00ED3F12">
        <w:rPr>
          <w:szCs w:val="24"/>
        </w:rPr>
        <w:t xml:space="preserve">(PHD) </w:t>
      </w:r>
      <w:proofErr w:type="gramStart"/>
      <w:r>
        <w:rPr>
          <w:szCs w:val="24"/>
        </w:rPr>
        <w:t>was launched</w:t>
      </w:r>
      <w:proofErr w:type="gramEnd"/>
      <w:r>
        <w:rPr>
          <w:szCs w:val="24"/>
        </w:rPr>
        <w:t xml:space="preserve"> in </w:t>
      </w:r>
      <w:r w:rsidR="002D3F18">
        <w:rPr>
          <w:szCs w:val="24"/>
        </w:rPr>
        <w:t xml:space="preserve">October </w:t>
      </w:r>
      <w:r>
        <w:rPr>
          <w:szCs w:val="24"/>
        </w:rPr>
        <w:t>2017. Its intention is to support local decision making by bringing existing comparative data into one place and making it accessible to a wide audience</w:t>
      </w:r>
      <w:r w:rsidR="00CC71F1">
        <w:rPr>
          <w:szCs w:val="24"/>
        </w:rPr>
        <w:t>,</w:t>
      </w:r>
      <w:r>
        <w:rPr>
          <w:szCs w:val="24"/>
        </w:rPr>
        <w:t xml:space="preserve"> including locally elected politicians. The dashboard currently contains data on </w:t>
      </w:r>
      <w:r w:rsidR="00E54297">
        <w:rPr>
          <w:szCs w:val="24"/>
        </w:rPr>
        <w:t xml:space="preserve">services that fall within </w:t>
      </w:r>
      <w:r>
        <w:rPr>
          <w:szCs w:val="24"/>
        </w:rPr>
        <w:t xml:space="preserve">the local authority mandated </w:t>
      </w:r>
      <w:r w:rsidR="008D0807">
        <w:rPr>
          <w:szCs w:val="24"/>
        </w:rPr>
        <w:t xml:space="preserve">functions </w:t>
      </w:r>
      <w:r w:rsidR="00E54297">
        <w:rPr>
          <w:szCs w:val="24"/>
        </w:rPr>
        <w:t>and public health grant conditions</w:t>
      </w:r>
      <w:r>
        <w:rPr>
          <w:szCs w:val="24"/>
        </w:rPr>
        <w:t xml:space="preserve"> </w:t>
      </w:r>
      <w:r w:rsidRPr="0071686F">
        <w:rPr>
          <w:szCs w:val="24"/>
        </w:rPr>
        <w:t>(best</w:t>
      </w:r>
      <w:r>
        <w:rPr>
          <w:szCs w:val="24"/>
        </w:rPr>
        <w:t xml:space="preserve"> start in life, childhood obesity, alcohol and drug treatment, NHS health checks and sexual health services)</w:t>
      </w:r>
      <w:r w:rsidR="00CC71F1">
        <w:rPr>
          <w:szCs w:val="24"/>
        </w:rPr>
        <w:t>,</w:t>
      </w:r>
      <w:r>
        <w:rPr>
          <w:szCs w:val="24"/>
        </w:rPr>
        <w:t xml:space="preserve"> plus tobacco control.  </w:t>
      </w:r>
    </w:p>
    <w:p w14:paraId="3A27773B" w14:textId="77777777" w:rsidR="00CC71F1" w:rsidRDefault="00CC71F1" w:rsidP="00F92801">
      <w:pPr>
        <w:spacing w:line="276" w:lineRule="auto"/>
        <w:rPr>
          <w:szCs w:val="24"/>
        </w:rPr>
      </w:pPr>
    </w:p>
    <w:p w14:paraId="4B65C362" w14:textId="25B4D884" w:rsidR="00D371C5" w:rsidRDefault="00D371C5" w:rsidP="00F92801">
      <w:pPr>
        <w:spacing w:line="276" w:lineRule="auto"/>
        <w:rPr>
          <w:szCs w:val="24"/>
        </w:rPr>
      </w:pPr>
      <w:r>
        <w:rPr>
          <w:szCs w:val="24"/>
        </w:rPr>
        <w:t xml:space="preserve">For each service area there is one overall summary rank indicator and several component indicators. </w:t>
      </w:r>
      <w:r w:rsidR="00CC71F1">
        <w:rPr>
          <w:szCs w:val="24"/>
        </w:rPr>
        <w:t>E</w:t>
      </w:r>
      <w:r>
        <w:rPr>
          <w:szCs w:val="24"/>
        </w:rPr>
        <w:t>ach local authority in each of the seven areas of delivery has been given a ranking and category description that describes how local delivery compares with all other local authorities, both in England as a whole and also within each local authority’s deprivation decile. The Public Health Dashboard is presented on Public Health England’s “Healthier Lives” platform.</w:t>
      </w:r>
    </w:p>
    <w:p w14:paraId="1A056DDB" w14:textId="77777777" w:rsidR="00D371C5" w:rsidRDefault="00D371C5" w:rsidP="00F92801">
      <w:pPr>
        <w:spacing w:line="276" w:lineRule="auto"/>
        <w:rPr>
          <w:szCs w:val="24"/>
        </w:rPr>
      </w:pPr>
    </w:p>
    <w:p w14:paraId="5D542992" w14:textId="1459CAD1" w:rsidR="00D371C5" w:rsidRDefault="00D97FD9" w:rsidP="00F92801">
      <w:pPr>
        <w:spacing w:line="276" w:lineRule="auto"/>
        <w:rPr>
          <w:szCs w:val="24"/>
        </w:rPr>
      </w:pPr>
      <w:r>
        <w:rPr>
          <w:szCs w:val="24"/>
        </w:rPr>
        <w:t>T</w:t>
      </w:r>
      <w:r w:rsidR="00D371C5">
        <w:rPr>
          <w:szCs w:val="24"/>
        </w:rPr>
        <w:t>he tool was initially accessible via a password protected website</w:t>
      </w:r>
      <w:r>
        <w:rPr>
          <w:szCs w:val="24"/>
        </w:rPr>
        <w:t xml:space="preserve"> only</w:t>
      </w:r>
      <w:r w:rsidR="00D371C5">
        <w:rPr>
          <w:szCs w:val="24"/>
        </w:rPr>
        <w:t>. The details were sent out to Directors of Public Health</w:t>
      </w:r>
      <w:r w:rsidR="00185698">
        <w:rPr>
          <w:szCs w:val="24"/>
        </w:rPr>
        <w:t xml:space="preserve"> asking for feedback related to the suitability and accuracy of the data within the tool</w:t>
      </w:r>
      <w:r w:rsidR="00F01BEC">
        <w:rPr>
          <w:szCs w:val="24"/>
        </w:rPr>
        <w:t>,</w:t>
      </w:r>
      <w:r w:rsidR="00185698">
        <w:rPr>
          <w:szCs w:val="24"/>
        </w:rPr>
        <w:t xml:space="preserve"> and the general functionality.</w:t>
      </w:r>
      <w:r w:rsidR="00D371C5">
        <w:rPr>
          <w:szCs w:val="24"/>
        </w:rPr>
        <w:t xml:space="preserve"> </w:t>
      </w:r>
      <w:r>
        <w:rPr>
          <w:szCs w:val="24"/>
        </w:rPr>
        <w:t>S</w:t>
      </w:r>
      <w:r w:rsidR="00D371C5">
        <w:rPr>
          <w:szCs w:val="24"/>
        </w:rPr>
        <w:t>ome improvements</w:t>
      </w:r>
      <w:r>
        <w:rPr>
          <w:szCs w:val="24"/>
        </w:rPr>
        <w:t xml:space="preserve"> were then made</w:t>
      </w:r>
      <w:r w:rsidR="00D371C5">
        <w:rPr>
          <w:szCs w:val="24"/>
        </w:rPr>
        <w:t xml:space="preserve"> </w:t>
      </w:r>
      <w:r w:rsidR="00F01BEC">
        <w:rPr>
          <w:szCs w:val="24"/>
        </w:rPr>
        <w:t xml:space="preserve">to the </w:t>
      </w:r>
      <w:proofErr w:type="spellStart"/>
      <w:r w:rsidR="00F01BEC">
        <w:rPr>
          <w:szCs w:val="24"/>
        </w:rPr>
        <w:t>Dashbaord</w:t>
      </w:r>
      <w:proofErr w:type="spellEnd"/>
      <w:r w:rsidR="00F01BEC">
        <w:rPr>
          <w:szCs w:val="24"/>
        </w:rPr>
        <w:t xml:space="preserve"> </w:t>
      </w:r>
      <w:r w:rsidR="00D371C5">
        <w:rPr>
          <w:szCs w:val="24"/>
        </w:rPr>
        <w:t xml:space="preserve">before the password protection was removed in mid-October. </w:t>
      </w:r>
    </w:p>
    <w:p w14:paraId="00CBBD08" w14:textId="77777777" w:rsidR="00D371C5" w:rsidRDefault="00D371C5" w:rsidP="00F92801">
      <w:pPr>
        <w:spacing w:line="276" w:lineRule="auto"/>
        <w:rPr>
          <w:szCs w:val="24"/>
        </w:rPr>
      </w:pPr>
    </w:p>
    <w:p w14:paraId="231F7A1B" w14:textId="7CC1B45D" w:rsidR="00D371C5" w:rsidRPr="00B420A5" w:rsidRDefault="00D97FD9" w:rsidP="00F92801">
      <w:pPr>
        <w:spacing w:line="276" w:lineRule="auto"/>
        <w:rPr>
          <w:szCs w:val="24"/>
        </w:rPr>
      </w:pPr>
      <w:r>
        <w:rPr>
          <w:szCs w:val="24"/>
        </w:rPr>
        <w:t xml:space="preserve">Further feedback was sought </w:t>
      </w:r>
      <w:r w:rsidR="00D371C5">
        <w:rPr>
          <w:szCs w:val="24"/>
        </w:rPr>
        <w:t>until the end of Novembe</w:t>
      </w:r>
      <w:r>
        <w:rPr>
          <w:szCs w:val="24"/>
        </w:rPr>
        <w:t>r 2017</w:t>
      </w:r>
      <w:r w:rsidR="00D371C5">
        <w:rPr>
          <w:szCs w:val="24"/>
        </w:rPr>
        <w:t xml:space="preserve">. This document summarises the feedback that was received </w:t>
      </w:r>
      <w:r w:rsidR="00F01BEC">
        <w:rPr>
          <w:szCs w:val="24"/>
        </w:rPr>
        <w:t xml:space="preserve">on the data and tool functionality </w:t>
      </w:r>
      <w:r w:rsidR="00D371C5">
        <w:rPr>
          <w:szCs w:val="24"/>
        </w:rPr>
        <w:t xml:space="preserve">up until the end of November and proposes developments to the tool ahead of the official launch in July 2018. The priority of the proposed developments </w:t>
      </w:r>
      <w:proofErr w:type="gramStart"/>
      <w:r w:rsidR="00F01BEC">
        <w:rPr>
          <w:szCs w:val="24"/>
        </w:rPr>
        <w:t xml:space="preserve">is </w:t>
      </w:r>
      <w:r w:rsidR="00D371C5">
        <w:rPr>
          <w:szCs w:val="24"/>
        </w:rPr>
        <w:t>based</w:t>
      </w:r>
      <w:proofErr w:type="gramEnd"/>
      <w:r w:rsidR="00D371C5">
        <w:rPr>
          <w:szCs w:val="24"/>
        </w:rPr>
        <w:t xml:space="preserve"> on the feedback received from users.</w:t>
      </w:r>
    </w:p>
    <w:p w14:paraId="099C1902" w14:textId="77777777" w:rsidR="00D371C5" w:rsidRDefault="00D371C5" w:rsidP="00F92801">
      <w:pPr>
        <w:spacing w:line="276" w:lineRule="auto"/>
        <w:rPr>
          <w:b/>
          <w:szCs w:val="24"/>
        </w:rPr>
      </w:pPr>
    </w:p>
    <w:p w14:paraId="44780D5F" w14:textId="3B872574" w:rsidR="00D371C5" w:rsidRDefault="00D371C5" w:rsidP="003260C0">
      <w:pPr>
        <w:spacing w:line="240" w:lineRule="atLeast"/>
        <w:rPr>
          <w:rStyle w:val="PHEFrontpagemaintitle"/>
          <w:b w:val="0"/>
          <w:sz w:val="48"/>
          <w:szCs w:val="48"/>
        </w:rPr>
      </w:pPr>
      <w:r w:rsidRPr="00D371C5">
        <w:rPr>
          <w:rStyle w:val="PHEFrontpagemaintitle"/>
          <w:b w:val="0"/>
          <w:sz w:val="48"/>
          <w:szCs w:val="48"/>
        </w:rPr>
        <w:t xml:space="preserve">Feedback </w:t>
      </w:r>
    </w:p>
    <w:p w14:paraId="4CA5DB14" w14:textId="77777777" w:rsidR="00D107D4" w:rsidRPr="004218E6" w:rsidRDefault="00D107D4" w:rsidP="003260C0">
      <w:pPr>
        <w:spacing w:line="240" w:lineRule="atLeast"/>
        <w:rPr>
          <w:rStyle w:val="PHEFrontpagemaintitle"/>
          <w:b w:val="0"/>
          <w:sz w:val="24"/>
          <w:szCs w:val="24"/>
        </w:rPr>
      </w:pPr>
    </w:p>
    <w:p w14:paraId="11D25D18" w14:textId="43DB0165" w:rsidR="00D371C5" w:rsidRDefault="00D371C5" w:rsidP="00F92801">
      <w:pPr>
        <w:spacing w:line="276" w:lineRule="auto"/>
        <w:rPr>
          <w:szCs w:val="24"/>
        </w:rPr>
      </w:pPr>
      <w:r>
        <w:rPr>
          <w:szCs w:val="24"/>
        </w:rPr>
        <w:t>Up to the 30</w:t>
      </w:r>
      <w:r w:rsidRPr="00B420A5">
        <w:rPr>
          <w:szCs w:val="24"/>
          <w:vertAlign w:val="superscript"/>
        </w:rPr>
        <w:t>th</w:t>
      </w:r>
      <w:r>
        <w:rPr>
          <w:szCs w:val="24"/>
        </w:rPr>
        <w:t xml:space="preserve"> November 2017, 65 emails </w:t>
      </w:r>
      <w:proofErr w:type="gramStart"/>
      <w:r>
        <w:rPr>
          <w:szCs w:val="24"/>
        </w:rPr>
        <w:t>were received</w:t>
      </w:r>
      <w:proofErr w:type="gramEnd"/>
      <w:r>
        <w:rPr>
          <w:szCs w:val="24"/>
        </w:rPr>
        <w:t xml:space="preserve"> into the dedicated inbox set up for the Public Health Dashboard (</w:t>
      </w:r>
      <w:hyperlink r:id="rId16" w:history="1">
        <w:r w:rsidRPr="0068012C">
          <w:rPr>
            <w:rStyle w:val="Hyperlink"/>
            <w:szCs w:val="24"/>
          </w:rPr>
          <w:t>phdashboard@phe.gov.uk</w:t>
        </w:r>
      </w:hyperlink>
      <w:r>
        <w:rPr>
          <w:szCs w:val="24"/>
        </w:rPr>
        <w:t>). The vast majority of these emails were from colleagues in local authorities, though some came from within PHE, from NHS organisations and also the Association of Directors of Public Health. In total there were around 375 items of feedback to consider.</w:t>
      </w:r>
    </w:p>
    <w:p w14:paraId="4E4A187E" w14:textId="77777777" w:rsidR="00D371C5" w:rsidRDefault="00D371C5" w:rsidP="00F92801">
      <w:pPr>
        <w:spacing w:line="276" w:lineRule="auto"/>
        <w:rPr>
          <w:szCs w:val="24"/>
        </w:rPr>
      </w:pPr>
    </w:p>
    <w:p w14:paraId="0B9A6B26" w14:textId="2025B2E6" w:rsidR="00D107D4" w:rsidRDefault="00D371C5" w:rsidP="00F92801">
      <w:pPr>
        <w:spacing w:line="276" w:lineRule="auto"/>
        <w:rPr>
          <w:szCs w:val="24"/>
        </w:rPr>
      </w:pPr>
      <w:r>
        <w:rPr>
          <w:szCs w:val="24"/>
        </w:rPr>
        <w:t>The feedback</w:t>
      </w:r>
      <w:r w:rsidR="00C62882">
        <w:rPr>
          <w:szCs w:val="24"/>
        </w:rPr>
        <w:t xml:space="preserve"> received</w:t>
      </w:r>
      <w:r>
        <w:rPr>
          <w:szCs w:val="24"/>
        </w:rPr>
        <w:t xml:space="preserve"> consisted of questions, comments and suggestions</w:t>
      </w:r>
      <w:r w:rsidR="00C62882">
        <w:rPr>
          <w:szCs w:val="24"/>
        </w:rPr>
        <w:t>.</w:t>
      </w:r>
      <w:r w:rsidR="00ED3F12">
        <w:rPr>
          <w:szCs w:val="24"/>
        </w:rPr>
        <w:t xml:space="preserve"> </w:t>
      </w:r>
      <w:r w:rsidR="00E60E2F">
        <w:rPr>
          <w:szCs w:val="24"/>
        </w:rPr>
        <w:t xml:space="preserve">The </w:t>
      </w:r>
      <w:r w:rsidR="00D107D4">
        <w:rPr>
          <w:szCs w:val="24"/>
        </w:rPr>
        <w:t>table</w:t>
      </w:r>
      <w:r w:rsidR="00E60E2F">
        <w:rPr>
          <w:szCs w:val="24"/>
        </w:rPr>
        <w:t xml:space="preserve"> below</w:t>
      </w:r>
      <w:r w:rsidR="00D107D4">
        <w:rPr>
          <w:szCs w:val="24"/>
        </w:rPr>
        <w:t xml:space="preserve"> summaris</w:t>
      </w:r>
      <w:r w:rsidR="00E60E2F">
        <w:rPr>
          <w:szCs w:val="24"/>
        </w:rPr>
        <w:t>es</w:t>
      </w:r>
      <w:r w:rsidR="00D107D4">
        <w:rPr>
          <w:szCs w:val="24"/>
        </w:rPr>
        <w:t xml:space="preserve"> </w:t>
      </w:r>
      <w:r w:rsidR="00C62882">
        <w:rPr>
          <w:szCs w:val="24"/>
        </w:rPr>
        <w:t xml:space="preserve">this </w:t>
      </w:r>
      <w:r w:rsidR="00D107D4">
        <w:rPr>
          <w:szCs w:val="24"/>
        </w:rPr>
        <w:t xml:space="preserve">feedback </w:t>
      </w:r>
      <w:r w:rsidR="00C62882">
        <w:rPr>
          <w:szCs w:val="24"/>
        </w:rPr>
        <w:t xml:space="preserve">by theme. </w:t>
      </w:r>
    </w:p>
    <w:p w14:paraId="04D2C114" w14:textId="77777777" w:rsidR="001F6B78" w:rsidRDefault="001F6B78" w:rsidP="003260C0">
      <w:pPr>
        <w:spacing w:line="240" w:lineRule="atLeast"/>
        <w:rPr>
          <w:szCs w:val="24"/>
        </w:rPr>
      </w:pPr>
    </w:p>
    <w:p w14:paraId="2445D0DE" w14:textId="77777777" w:rsidR="00D107D4" w:rsidRPr="003260C0" w:rsidRDefault="00D107D4" w:rsidP="003260C0">
      <w:pPr>
        <w:spacing w:line="240" w:lineRule="atLeast"/>
        <w:rPr>
          <w:b/>
          <w:szCs w:val="24"/>
        </w:rPr>
      </w:pPr>
      <w:r w:rsidRPr="003260C0">
        <w:rPr>
          <w:b/>
          <w:szCs w:val="24"/>
        </w:rPr>
        <w:t>Table 1: Summary of emerging themes from feedback received</w:t>
      </w:r>
    </w:p>
    <w:tbl>
      <w:tblPr>
        <w:tblStyle w:val="LightList-Accent1"/>
        <w:tblW w:w="0" w:type="auto"/>
        <w:tblLook w:val="04A0" w:firstRow="1" w:lastRow="0" w:firstColumn="1" w:lastColumn="0" w:noHBand="0" w:noVBand="1"/>
      </w:tblPr>
      <w:tblGrid>
        <w:gridCol w:w="2481"/>
        <w:gridCol w:w="3385"/>
        <w:gridCol w:w="4165"/>
      </w:tblGrid>
      <w:tr w:rsidR="00BF14A2" w14:paraId="5FBE0470" w14:textId="77777777" w:rsidTr="00BF1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Borders>
              <w:top w:val="single" w:sz="8" w:space="0" w:color="4F81BD" w:themeColor="accent1"/>
              <w:bottom w:val="single" w:sz="8" w:space="0" w:color="4F81BD" w:themeColor="accent1"/>
              <w:right w:val="single" w:sz="8" w:space="0" w:color="4F81BD" w:themeColor="accent1"/>
            </w:tcBorders>
          </w:tcPr>
          <w:p w14:paraId="7425C162" w14:textId="77777777" w:rsidR="00BF14A2" w:rsidRDefault="00BF14A2" w:rsidP="00FE572C">
            <w:pPr>
              <w:spacing w:line="240" w:lineRule="atLeast"/>
              <w:rPr>
                <w:szCs w:val="24"/>
              </w:rPr>
            </w:pPr>
            <w:r>
              <w:rPr>
                <w:szCs w:val="24"/>
              </w:rPr>
              <w:t>Theme</w:t>
            </w:r>
          </w:p>
        </w:tc>
        <w:tc>
          <w:tcPr>
            <w:tcW w:w="33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778C097" w14:textId="77777777" w:rsidR="00BF14A2" w:rsidRDefault="00BF14A2" w:rsidP="00FE572C">
            <w:pPr>
              <w:spacing w:line="240" w:lineRule="atLeast"/>
              <w:cnfStyle w:val="100000000000" w:firstRow="1" w:lastRow="0" w:firstColumn="0" w:lastColumn="0" w:oddVBand="0" w:evenVBand="0" w:oddHBand="0" w:evenHBand="0" w:firstRowFirstColumn="0" w:firstRowLastColumn="0" w:lastRowFirstColumn="0" w:lastRowLastColumn="0"/>
              <w:rPr>
                <w:szCs w:val="24"/>
              </w:rPr>
            </w:pPr>
            <w:r>
              <w:rPr>
                <w:szCs w:val="24"/>
              </w:rPr>
              <w:t>Summary of comment</w:t>
            </w:r>
          </w:p>
        </w:tc>
        <w:tc>
          <w:tcPr>
            <w:tcW w:w="4165" w:type="dxa"/>
            <w:tcBorders>
              <w:top w:val="single" w:sz="8" w:space="0" w:color="4F81BD" w:themeColor="accent1"/>
              <w:left w:val="single" w:sz="8" w:space="0" w:color="4F81BD" w:themeColor="accent1"/>
              <w:bottom w:val="single" w:sz="8" w:space="0" w:color="4F81BD" w:themeColor="accent1"/>
            </w:tcBorders>
          </w:tcPr>
          <w:p w14:paraId="1E814197" w14:textId="77777777" w:rsidR="00BF14A2" w:rsidRDefault="00BF14A2" w:rsidP="00FE572C">
            <w:pPr>
              <w:spacing w:line="240" w:lineRule="atLeast"/>
              <w:cnfStyle w:val="100000000000" w:firstRow="1" w:lastRow="0" w:firstColumn="0" w:lastColumn="0" w:oddVBand="0" w:evenVBand="0" w:oddHBand="0" w:evenHBand="0" w:firstRowFirstColumn="0" w:firstRowLastColumn="0" w:lastRowFirstColumn="0" w:lastRowLastColumn="0"/>
              <w:rPr>
                <w:szCs w:val="24"/>
              </w:rPr>
            </w:pPr>
            <w:r>
              <w:rPr>
                <w:szCs w:val="24"/>
              </w:rPr>
              <w:t>Response to comment / action taken</w:t>
            </w:r>
          </w:p>
        </w:tc>
      </w:tr>
      <w:tr w:rsidR="00BF14A2" w14:paraId="381171D7" w14:textId="77777777" w:rsidTr="00BF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vMerge w:val="restart"/>
            <w:tcBorders>
              <w:right w:val="single" w:sz="8" w:space="0" w:color="4F81BD" w:themeColor="accent1"/>
            </w:tcBorders>
          </w:tcPr>
          <w:p w14:paraId="17BD1A93" w14:textId="77777777" w:rsidR="00BF14A2" w:rsidRDefault="00BF14A2" w:rsidP="00FE572C">
            <w:pPr>
              <w:spacing w:line="240" w:lineRule="atLeast"/>
              <w:rPr>
                <w:b w:val="0"/>
                <w:bCs w:val="0"/>
                <w:szCs w:val="24"/>
              </w:rPr>
            </w:pPr>
            <w:r>
              <w:rPr>
                <w:szCs w:val="24"/>
              </w:rPr>
              <w:t>Indicators</w:t>
            </w:r>
          </w:p>
          <w:p w14:paraId="4CB143BB" w14:textId="77777777" w:rsidR="00BF14A2" w:rsidRDefault="00BF14A2" w:rsidP="00FE572C">
            <w:pPr>
              <w:spacing w:line="240" w:lineRule="atLeast"/>
              <w:rPr>
                <w:szCs w:val="24"/>
              </w:rPr>
            </w:pPr>
          </w:p>
        </w:tc>
        <w:tc>
          <w:tcPr>
            <w:tcW w:w="3385" w:type="dxa"/>
            <w:tcBorders>
              <w:left w:val="single" w:sz="8" w:space="0" w:color="4F81BD" w:themeColor="accent1"/>
              <w:right w:val="single" w:sz="8" w:space="0" w:color="4F81BD" w:themeColor="accent1"/>
            </w:tcBorders>
          </w:tcPr>
          <w:p w14:paraId="47803DF7"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proofErr w:type="gramStart"/>
            <w:r>
              <w:rPr>
                <w:szCs w:val="24"/>
              </w:rPr>
              <w:t>Request for additions of whole service areas e.g.</w:t>
            </w:r>
            <w:proofErr w:type="gramEnd"/>
            <w:r>
              <w:rPr>
                <w:szCs w:val="24"/>
              </w:rPr>
              <w:t xml:space="preserve">  </w:t>
            </w:r>
            <w:proofErr w:type="gramStart"/>
            <w:r>
              <w:rPr>
                <w:szCs w:val="24"/>
              </w:rPr>
              <w:t>mental</w:t>
            </w:r>
            <w:proofErr w:type="gramEnd"/>
            <w:r>
              <w:rPr>
                <w:szCs w:val="24"/>
              </w:rPr>
              <w:t xml:space="preserve"> health, or indicators </w:t>
            </w:r>
            <w:r>
              <w:rPr>
                <w:szCs w:val="24"/>
              </w:rPr>
              <w:lastRenderedPageBreak/>
              <w:t>within current areas e.g. other sexually transmitted infections.</w:t>
            </w:r>
          </w:p>
        </w:tc>
        <w:tc>
          <w:tcPr>
            <w:tcW w:w="4165" w:type="dxa"/>
            <w:tcBorders>
              <w:left w:val="single" w:sz="8" w:space="0" w:color="4F81BD" w:themeColor="accent1"/>
            </w:tcBorders>
          </w:tcPr>
          <w:p w14:paraId="1DD60F30" w14:textId="62F79C43"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lastRenderedPageBreak/>
              <w:t xml:space="preserve">A review of the content will be undertaken based on feedback and inclusion of new service areas or </w:t>
            </w:r>
            <w:r>
              <w:rPr>
                <w:szCs w:val="24"/>
              </w:rPr>
              <w:lastRenderedPageBreak/>
              <w:t xml:space="preserve">indicators will be based on criteria set out in a separate criteria document (available </w:t>
            </w:r>
            <w:hyperlink r:id="rId17" w:history="1">
              <w:r w:rsidRPr="001B7559">
                <w:rPr>
                  <w:rStyle w:val="Hyperlink"/>
                  <w:szCs w:val="24"/>
                </w:rPr>
                <w:t>here</w:t>
              </w:r>
            </w:hyperlink>
            <w:r>
              <w:rPr>
                <w:szCs w:val="24"/>
              </w:rPr>
              <w:t xml:space="preserve">). </w:t>
            </w:r>
          </w:p>
        </w:tc>
      </w:tr>
      <w:tr w:rsidR="00BF14A2" w14:paraId="387F5069" w14:textId="77777777" w:rsidTr="00BF14A2">
        <w:tc>
          <w:tcPr>
            <w:cnfStyle w:val="001000000000" w:firstRow="0" w:lastRow="0" w:firstColumn="1" w:lastColumn="0" w:oddVBand="0" w:evenVBand="0" w:oddHBand="0" w:evenHBand="0" w:firstRowFirstColumn="0" w:firstRowLastColumn="0" w:lastRowFirstColumn="0" w:lastRowLastColumn="0"/>
            <w:tcW w:w="2481" w:type="dxa"/>
            <w:vMerge/>
            <w:tcBorders>
              <w:top w:val="single" w:sz="8" w:space="0" w:color="4F81BD" w:themeColor="accent1"/>
              <w:bottom w:val="single" w:sz="8" w:space="0" w:color="4F81BD" w:themeColor="accent1"/>
              <w:right w:val="single" w:sz="8" w:space="0" w:color="4F81BD" w:themeColor="accent1"/>
            </w:tcBorders>
          </w:tcPr>
          <w:p w14:paraId="104910F0" w14:textId="77777777" w:rsidR="00BF14A2" w:rsidRDefault="00BF14A2" w:rsidP="00FE572C">
            <w:pPr>
              <w:spacing w:line="240" w:lineRule="atLeast"/>
              <w:rPr>
                <w:szCs w:val="24"/>
              </w:rPr>
            </w:pPr>
          </w:p>
        </w:tc>
        <w:tc>
          <w:tcPr>
            <w:tcW w:w="33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E1B73C5" w14:textId="028D1329" w:rsidR="00BF14A2" w:rsidRDefault="00BF14A2" w:rsidP="00BF14A2">
            <w:pPr>
              <w:spacing w:line="24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Some comments felt that there is inconsistency between PHD and other PHE products e.g. Public Health Outcomes Framework includes indicators for excess weight in children, whilst the PHD includes indicators on obese children. </w:t>
            </w:r>
          </w:p>
        </w:tc>
        <w:tc>
          <w:tcPr>
            <w:tcW w:w="4165" w:type="dxa"/>
            <w:tcBorders>
              <w:top w:val="single" w:sz="8" w:space="0" w:color="4F81BD" w:themeColor="accent1"/>
              <w:left w:val="single" w:sz="8" w:space="0" w:color="4F81BD" w:themeColor="accent1"/>
              <w:bottom w:val="single" w:sz="8" w:space="0" w:color="4F81BD" w:themeColor="accent1"/>
            </w:tcBorders>
          </w:tcPr>
          <w:p w14:paraId="5E352953" w14:textId="3B2A10B5" w:rsidR="00BF14A2" w:rsidRDefault="00BF14A2" w:rsidP="00BE4B5A">
            <w:pPr>
              <w:spacing w:line="24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PHD is largely consistent with other tools and where it </w:t>
            </w:r>
            <w:proofErr w:type="gramStart"/>
            <w:r>
              <w:rPr>
                <w:szCs w:val="24"/>
              </w:rPr>
              <w:t>isn’t</w:t>
            </w:r>
            <w:proofErr w:type="gramEnd"/>
            <w:r>
              <w:rPr>
                <w:szCs w:val="24"/>
              </w:rPr>
              <w:t xml:space="preserve"> this will be explained. </w:t>
            </w:r>
          </w:p>
        </w:tc>
      </w:tr>
      <w:tr w:rsidR="00BF14A2" w14:paraId="270914A4" w14:textId="77777777" w:rsidTr="00BF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vMerge/>
            <w:tcBorders>
              <w:right w:val="single" w:sz="8" w:space="0" w:color="4F81BD" w:themeColor="accent1"/>
            </w:tcBorders>
          </w:tcPr>
          <w:p w14:paraId="073C9E45" w14:textId="77777777" w:rsidR="00BF14A2" w:rsidRDefault="00BF14A2" w:rsidP="00FE572C">
            <w:pPr>
              <w:spacing w:line="240" w:lineRule="atLeast"/>
              <w:rPr>
                <w:szCs w:val="24"/>
              </w:rPr>
            </w:pPr>
          </w:p>
        </w:tc>
        <w:tc>
          <w:tcPr>
            <w:tcW w:w="3385" w:type="dxa"/>
            <w:tcBorders>
              <w:left w:val="single" w:sz="8" w:space="0" w:color="4F81BD" w:themeColor="accent1"/>
              <w:right w:val="single" w:sz="8" w:space="0" w:color="4F81BD" w:themeColor="accent1"/>
            </w:tcBorders>
          </w:tcPr>
          <w:p w14:paraId="3B90738A"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Comments on the suitability of some indicators that make up the summary rank indicator.</w:t>
            </w:r>
          </w:p>
        </w:tc>
        <w:tc>
          <w:tcPr>
            <w:tcW w:w="4165" w:type="dxa"/>
            <w:tcBorders>
              <w:left w:val="single" w:sz="8" w:space="0" w:color="4F81BD" w:themeColor="accent1"/>
            </w:tcBorders>
          </w:tcPr>
          <w:p w14:paraId="2FAD50FF"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The rationale for indicators is set out in a separate document </w:t>
            </w:r>
            <w:r w:rsidRPr="003260C0">
              <w:rPr>
                <w:szCs w:val="24"/>
              </w:rPr>
              <w:t xml:space="preserve">(available </w:t>
            </w:r>
            <w:hyperlink r:id="rId18" w:history="1">
              <w:r w:rsidRPr="003260C0">
                <w:rPr>
                  <w:rStyle w:val="Hyperlink"/>
                  <w:szCs w:val="24"/>
                </w:rPr>
                <w:t>here</w:t>
              </w:r>
            </w:hyperlink>
            <w:r w:rsidRPr="003260C0">
              <w:rPr>
                <w:szCs w:val="24"/>
              </w:rPr>
              <w:t>).</w:t>
            </w:r>
            <w:r>
              <w:rPr>
                <w:szCs w:val="24"/>
              </w:rPr>
              <w:t xml:space="preserve"> </w:t>
            </w:r>
            <w:proofErr w:type="gramStart"/>
            <w:r>
              <w:rPr>
                <w:szCs w:val="24"/>
              </w:rPr>
              <w:t>As a result</w:t>
            </w:r>
            <w:proofErr w:type="gramEnd"/>
            <w:r>
              <w:rPr>
                <w:szCs w:val="24"/>
              </w:rPr>
              <w:t xml:space="preserve"> of specific feedback on some indicators, the methodology for calculating the summary ranks has been revisited and summary ranks will be revised in July 2018.</w:t>
            </w:r>
          </w:p>
        </w:tc>
      </w:tr>
      <w:tr w:rsidR="00BF14A2" w14:paraId="4FD3FBFF" w14:textId="77777777" w:rsidTr="00BF14A2">
        <w:tc>
          <w:tcPr>
            <w:tcW w:w="2481" w:type="dxa"/>
            <w:vMerge/>
            <w:tcBorders>
              <w:top w:val="single" w:sz="8" w:space="0" w:color="4F81BD" w:themeColor="accent1"/>
              <w:bottom w:val="single" w:sz="8" w:space="0" w:color="4F81BD" w:themeColor="accent1"/>
              <w:right w:val="single" w:sz="8" w:space="0" w:color="4F81BD" w:themeColor="accent1"/>
            </w:tcBorders>
          </w:tcPr>
          <w:p w14:paraId="22698E6E" w14:textId="77777777" w:rsidR="00BF14A2" w:rsidRDefault="00BF14A2" w:rsidP="00FE572C">
            <w:pPr>
              <w:spacing w:line="240" w:lineRule="atLeast"/>
              <w:cnfStyle w:val="001000000000" w:firstRow="0" w:lastRow="0" w:firstColumn="1" w:lastColumn="0" w:oddVBand="0" w:evenVBand="0" w:oddHBand="0" w:evenHBand="0" w:firstRowFirstColumn="0" w:firstRowLastColumn="0" w:lastRowFirstColumn="0" w:lastRowLastColumn="0"/>
              <w:rPr>
                <w:szCs w:val="24"/>
              </w:rPr>
            </w:pPr>
          </w:p>
        </w:tc>
        <w:tc>
          <w:tcPr>
            <w:tcW w:w="33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689C3F0" w14:textId="77777777" w:rsidR="00BF14A2" w:rsidRDefault="00BF14A2" w:rsidP="00FE572C">
            <w:pPr>
              <w:spacing w:line="240" w:lineRule="atLeast"/>
              <w:rPr>
                <w:szCs w:val="24"/>
              </w:rPr>
            </w:pPr>
            <w:proofErr w:type="gramStart"/>
            <w:r>
              <w:rPr>
                <w:szCs w:val="24"/>
              </w:rPr>
              <w:t>Lack of clarity within the tool e.g. around the inclusion of service areas or indicators, or definition of certain indicators.</w:t>
            </w:r>
            <w:proofErr w:type="gramEnd"/>
          </w:p>
        </w:tc>
        <w:tc>
          <w:tcPr>
            <w:tcW w:w="4165" w:type="dxa"/>
            <w:tcBorders>
              <w:top w:val="single" w:sz="8" w:space="0" w:color="4F81BD" w:themeColor="accent1"/>
              <w:left w:val="single" w:sz="8" w:space="0" w:color="4F81BD" w:themeColor="accent1"/>
              <w:bottom w:val="single" w:sz="8" w:space="0" w:color="4F81BD" w:themeColor="accent1"/>
            </w:tcBorders>
          </w:tcPr>
          <w:p w14:paraId="2E2EADF3" w14:textId="5F7DA52C" w:rsidR="00BF14A2" w:rsidRDefault="00BF14A2" w:rsidP="00BE4B5A">
            <w:pPr>
              <w:spacing w:line="240" w:lineRule="atLeast"/>
              <w:rPr>
                <w:szCs w:val="24"/>
              </w:rPr>
            </w:pPr>
            <w:r>
              <w:rPr>
                <w:szCs w:val="24"/>
              </w:rPr>
              <w:t xml:space="preserve">The rationale for indicators is set out in a separate document </w:t>
            </w:r>
            <w:r w:rsidRPr="003260C0">
              <w:rPr>
                <w:szCs w:val="24"/>
              </w:rPr>
              <w:t xml:space="preserve">(available </w:t>
            </w:r>
            <w:hyperlink r:id="rId19" w:history="1">
              <w:r w:rsidRPr="003260C0">
                <w:rPr>
                  <w:rStyle w:val="Hyperlink"/>
                  <w:szCs w:val="24"/>
                </w:rPr>
                <w:t>here</w:t>
              </w:r>
            </w:hyperlink>
            <w:r w:rsidRPr="003260C0">
              <w:rPr>
                <w:szCs w:val="24"/>
              </w:rPr>
              <w:t>).</w:t>
            </w:r>
            <w:r>
              <w:rPr>
                <w:szCs w:val="24"/>
              </w:rPr>
              <w:t xml:space="preserve"> The metadata for indicators is set out in separate document (available </w:t>
            </w:r>
            <w:hyperlink r:id="rId20" w:history="1">
              <w:r w:rsidRPr="001B7559">
                <w:rPr>
                  <w:rStyle w:val="Hyperlink"/>
                  <w:szCs w:val="24"/>
                </w:rPr>
                <w:t>here</w:t>
              </w:r>
            </w:hyperlink>
            <w:r>
              <w:rPr>
                <w:szCs w:val="24"/>
              </w:rPr>
              <w:t>)</w:t>
            </w:r>
          </w:p>
        </w:tc>
      </w:tr>
      <w:tr w:rsidR="00BF14A2" w14:paraId="71F16D21" w14:textId="77777777" w:rsidTr="00BF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Borders>
              <w:right w:val="single" w:sz="8" w:space="0" w:color="4F81BD" w:themeColor="accent1"/>
            </w:tcBorders>
          </w:tcPr>
          <w:p w14:paraId="127752BC" w14:textId="77777777" w:rsidR="00BF14A2" w:rsidRDefault="00BF14A2" w:rsidP="00FE572C">
            <w:pPr>
              <w:spacing w:line="240" w:lineRule="atLeast"/>
              <w:rPr>
                <w:szCs w:val="24"/>
              </w:rPr>
            </w:pPr>
            <w:r>
              <w:rPr>
                <w:szCs w:val="24"/>
              </w:rPr>
              <w:t>Data</w:t>
            </w:r>
          </w:p>
        </w:tc>
        <w:tc>
          <w:tcPr>
            <w:tcW w:w="3385" w:type="dxa"/>
            <w:tcBorders>
              <w:left w:val="single" w:sz="8" w:space="0" w:color="4F81BD" w:themeColor="accent1"/>
              <w:right w:val="single" w:sz="8" w:space="0" w:color="4F81BD" w:themeColor="accent1"/>
            </w:tcBorders>
          </w:tcPr>
          <w:p w14:paraId="06ADBBC2"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Some local authorities were unable to match data in the tool.</w:t>
            </w:r>
          </w:p>
        </w:tc>
        <w:tc>
          <w:tcPr>
            <w:tcW w:w="4165" w:type="dxa"/>
            <w:tcBorders>
              <w:left w:val="single" w:sz="8" w:space="0" w:color="4F81BD" w:themeColor="accent1"/>
            </w:tcBorders>
          </w:tcPr>
          <w:p w14:paraId="5208C390"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Any differences between locally held data and data in the PHD have been resolved. </w:t>
            </w:r>
          </w:p>
          <w:p w14:paraId="35434D18"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The indicator metadata </w:t>
            </w:r>
            <w:proofErr w:type="gramStart"/>
            <w:r>
              <w:rPr>
                <w:szCs w:val="24"/>
              </w:rPr>
              <w:t>has been reviewed</w:t>
            </w:r>
            <w:proofErr w:type="gramEnd"/>
            <w:r>
              <w:rPr>
                <w:szCs w:val="24"/>
              </w:rPr>
              <w:t xml:space="preserve"> to ensure it contains sufficient information to allow users to replicate the calculations.</w:t>
            </w:r>
          </w:p>
        </w:tc>
      </w:tr>
      <w:tr w:rsidR="00BF14A2" w14:paraId="02BB59A2" w14:textId="77777777" w:rsidTr="00BF14A2">
        <w:tc>
          <w:tcPr>
            <w:tcW w:w="2481" w:type="dxa"/>
            <w:vMerge w:val="restart"/>
            <w:tcBorders>
              <w:top w:val="single" w:sz="8" w:space="0" w:color="4F81BD" w:themeColor="accent1"/>
              <w:bottom w:val="single" w:sz="8" w:space="0" w:color="4F81BD" w:themeColor="accent1"/>
              <w:right w:val="single" w:sz="8" w:space="0" w:color="4F81BD" w:themeColor="accent1"/>
            </w:tcBorders>
          </w:tcPr>
          <w:p w14:paraId="55F47BE7" w14:textId="77777777" w:rsidR="00BF14A2" w:rsidRDefault="00BF14A2" w:rsidP="00FE572C">
            <w:pPr>
              <w:spacing w:line="240" w:lineRule="atLeast"/>
              <w:cnfStyle w:val="001000000000" w:firstRow="0" w:lastRow="0" w:firstColumn="1" w:lastColumn="0" w:oddVBand="0" w:evenVBand="0" w:oddHBand="0" w:evenHBand="0" w:firstRowFirstColumn="0" w:firstRowLastColumn="0" w:lastRowFirstColumn="0" w:lastRowLastColumn="0"/>
              <w:rPr>
                <w:b w:val="0"/>
                <w:bCs w:val="0"/>
                <w:szCs w:val="24"/>
              </w:rPr>
            </w:pPr>
            <w:r>
              <w:rPr>
                <w:szCs w:val="24"/>
              </w:rPr>
              <w:t>Methodology</w:t>
            </w:r>
          </w:p>
          <w:p w14:paraId="1F4242EF" w14:textId="77777777" w:rsidR="00BF14A2" w:rsidRDefault="00BF14A2" w:rsidP="00FE572C">
            <w:pPr>
              <w:spacing w:line="240" w:lineRule="atLeast"/>
              <w:cnfStyle w:val="001000000000" w:firstRow="0" w:lastRow="0" w:firstColumn="1" w:lastColumn="0" w:oddVBand="0" w:evenVBand="0" w:oddHBand="0" w:evenHBand="0" w:firstRowFirstColumn="0" w:firstRowLastColumn="0" w:lastRowFirstColumn="0" w:lastRowLastColumn="0"/>
              <w:rPr>
                <w:szCs w:val="24"/>
              </w:rPr>
            </w:pPr>
          </w:p>
        </w:tc>
        <w:tc>
          <w:tcPr>
            <w:tcW w:w="33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C0E8185" w14:textId="77777777" w:rsidR="00BF14A2" w:rsidRDefault="00BF14A2" w:rsidP="00FE572C">
            <w:pPr>
              <w:spacing w:line="240" w:lineRule="atLeast"/>
              <w:rPr>
                <w:szCs w:val="24"/>
              </w:rPr>
            </w:pPr>
            <w:r>
              <w:rPr>
                <w:szCs w:val="24"/>
              </w:rPr>
              <w:t xml:space="preserve">Requests </w:t>
            </w:r>
            <w:proofErr w:type="gramStart"/>
            <w:r>
              <w:rPr>
                <w:szCs w:val="24"/>
              </w:rPr>
              <w:t>were received</w:t>
            </w:r>
            <w:proofErr w:type="gramEnd"/>
            <w:r>
              <w:rPr>
                <w:szCs w:val="24"/>
              </w:rPr>
              <w:t xml:space="preserve"> for information on how the summary rank indicators have been calculated.</w:t>
            </w:r>
          </w:p>
        </w:tc>
        <w:tc>
          <w:tcPr>
            <w:tcW w:w="4165" w:type="dxa"/>
            <w:tcBorders>
              <w:top w:val="single" w:sz="8" w:space="0" w:color="4F81BD" w:themeColor="accent1"/>
              <w:left w:val="single" w:sz="8" w:space="0" w:color="4F81BD" w:themeColor="accent1"/>
              <w:bottom w:val="single" w:sz="8" w:space="0" w:color="4F81BD" w:themeColor="accent1"/>
            </w:tcBorders>
          </w:tcPr>
          <w:p w14:paraId="638BBC15" w14:textId="1E5B951D" w:rsidR="00BF14A2" w:rsidRDefault="00BF14A2" w:rsidP="00FE572C">
            <w:pPr>
              <w:spacing w:line="240" w:lineRule="atLeast"/>
              <w:rPr>
                <w:szCs w:val="24"/>
              </w:rPr>
            </w:pPr>
            <w:r>
              <w:rPr>
                <w:szCs w:val="24"/>
              </w:rPr>
              <w:t xml:space="preserve">The methodology is documented in the methodology document </w:t>
            </w:r>
            <w:r w:rsidRPr="003260C0">
              <w:rPr>
                <w:szCs w:val="24"/>
              </w:rPr>
              <w:t xml:space="preserve">(available </w:t>
            </w:r>
            <w:hyperlink r:id="rId21" w:history="1">
              <w:r w:rsidRPr="003260C0">
                <w:rPr>
                  <w:rStyle w:val="Hyperlink"/>
                  <w:szCs w:val="24"/>
                </w:rPr>
                <w:t>here</w:t>
              </w:r>
            </w:hyperlink>
            <w:r w:rsidRPr="003260C0">
              <w:rPr>
                <w:szCs w:val="24"/>
              </w:rPr>
              <w:t>)</w:t>
            </w:r>
          </w:p>
        </w:tc>
      </w:tr>
      <w:tr w:rsidR="00BF14A2" w14:paraId="65AD54EC" w14:textId="77777777" w:rsidTr="00BF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vMerge/>
            <w:tcBorders>
              <w:right w:val="single" w:sz="8" w:space="0" w:color="4F81BD" w:themeColor="accent1"/>
            </w:tcBorders>
          </w:tcPr>
          <w:p w14:paraId="686A53D2" w14:textId="77777777" w:rsidR="00BF14A2" w:rsidRDefault="00BF14A2" w:rsidP="00FE572C">
            <w:pPr>
              <w:spacing w:line="240" w:lineRule="atLeast"/>
              <w:rPr>
                <w:szCs w:val="24"/>
              </w:rPr>
            </w:pPr>
          </w:p>
        </w:tc>
        <w:tc>
          <w:tcPr>
            <w:tcW w:w="3385" w:type="dxa"/>
            <w:tcBorders>
              <w:left w:val="single" w:sz="8" w:space="0" w:color="4F81BD" w:themeColor="accent1"/>
              <w:right w:val="single" w:sz="8" w:space="0" w:color="4F81BD" w:themeColor="accent1"/>
            </w:tcBorders>
          </w:tcPr>
          <w:p w14:paraId="521E936E"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Comments on the appropriateness of giving equal weight to all component indicators and suggestions that all indicators should be transformed</w:t>
            </w:r>
          </w:p>
        </w:tc>
        <w:tc>
          <w:tcPr>
            <w:tcW w:w="4165" w:type="dxa"/>
            <w:tcBorders>
              <w:left w:val="single" w:sz="8" w:space="0" w:color="4F81BD" w:themeColor="accent1"/>
            </w:tcBorders>
          </w:tcPr>
          <w:p w14:paraId="7A0AC244" w14:textId="077D21B6"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The methodology is documented in the methodology document </w:t>
            </w:r>
            <w:r w:rsidRPr="003260C0">
              <w:rPr>
                <w:szCs w:val="24"/>
              </w:rPr>
              <w:t xml:space="preserve">(available </w:t>
            </w:r>
            <w:hyperlink r:id="rId22" w:history="1">
              <w:r w:rsidRPr="003260C0">
                <w:rPr>
                  <w:rStyle w:val="Hyperlink"/>
                  <w:szCs w:val="24"/>
                </w:rPr>
                <w:t>here</w:t>
              </w:r>
            </w:hyperlink>
            <w:r w:rsidRPr="003260C0">
              <w:rPr>
                <w:szCs w:val="24"/>
              </w:rPr>
              <w:t>)</w:t>
            </w:r>
          </w:p>
          <w:p w14:paraId="09CBACB5"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All indicators </w:t>
            </w:r>
            <w:proofErr w:type="gramStart"/>
            <w:r>
              <w:rPr>
                <w:szCs w:val="24"/>
              </w:rPr>
              <w:t>will be transformed</w:t>
            </w:r>
            <w:proofErr w:type="gramEnd"/>
            <w:r>
              <w:rPr>
                <w:szCs w:val="24"/>
              </w:rPr>
              <w:t xml:space="preserve"> and summary ranks will be updated July 2018.</w:t>
            </w:r>
          </w:p>
        </w:tc>
      </w:tr>
      <w:tr w:rsidR="00BF14A2" w14:paraId="18737F85" w14:textId="77777777" w:rsidTr="00BF14A2">
        <w:tc>
          <w:tcPr>
            <w:tcW w:w="2481" w:type="dxa"/>
            <w:vMerge w:val="restart"/>
            <w:tcBorders>
              <w:top w:val="single" w:sz="8" w:space="0" w:color="4F81BD" w:themeColor="accent1"/>
              <w:bottom w:val="single" w:sz="8" w:space="0" w:color="4F81BD" w:themeColor="accent1"/>
              <w:right w:val="single" w:sz="8" w:space="0" w:color="4F81BD" w:themeColor="accent1"/>
            </w:tcBorders>
          </w:tcPr>
          <w:p w14:paraId="459FD247" w14:textId="77777777" w:rsidR="00BF14A2" w:rsidRDefault="00BF14A2" w:rsidP="00FE572C">
            <w:pPr>
              <w:spacing w:line="240" w:lineRule="atLeast"/>
              <w:cnfStyle w:val="001000000000" w:firstRow="0" w:lastRow="0" w:firstColumn="1" w:lastColumn="0" w:oddVBand="0" w:evenVBand="0" w:oddHBand="0" w:evenHBand="0" w:firstRowFirstColumn="0" w:firstRowLastColumn="0" w:lastRowFirstColumn="0" w:lastRowLastColumn="0"/>
              <w:rPr>
                <w:b w:val="0"/>
                <w:bCs w:val="0"/>
                <w:szCs w:val="24"/>
              </w:rPr>
            </w:pPr>
            <w:r>
              <w:rPr>
                <w:szCs w:val="24"/>
              </w:rPr>
              <w:t>Presentation</w:t>
            </w:r>
          </w:p>
          <w:p w14:paraId="1F52C0E4" w14:textId="77777777" w:rsidR="00BF14A2" w:rsidRDefault="00BF14A2" w:rsidP="00FE572C">
            <w:pPr>
              <w:spacing w:line="240" w:lineRule="atLeast"/>
              <w:cnfStyle w:val="001000000000" w:firstRow="0" w:lastRow="0" w:firstColumn="1" w:lastColumn="0" w:oddVBand="0" w:evenVBand="0" w:oddHBand="0" w:evenHBand="0" w:firstRowFirstColumn="0" w:firstRowLastColumn="0" w:lastRowFirstColumn="0" w:lastRowLastColumn="0"/>
              <w:rPr>
                <w:szCs w:val="24"/>
              </w:rPr>
            </w:pPr>
          </w:p>
        </w:tc>
        <w:tc>
          <w:tcPr>
            <w:tcW w:w="33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4BEAF2A" w14:textId="77777777" w:rsidR="00BF14A2" w:rsidRDefault="00BF14A2" w:rsidP="00FE572C">
            <w:pPr>
              <w:spacing w:line="240" w:lineRule="atLeast"/>
              <w:rPr>
                <w:szCs w:val="24"/>
              </w:rPr>
            </w:pPr>
            <w:r>
              <w:rPr>
                <w:szCs w:val="24"/>
              </w:rPr>
              <w:t xml:space="preserve">Some users queried why the summary rank </w:t>
            </w:r>
            <w:proofErr w:type="gramStart"/>
            <w:r>
              <w:rPr>
                <w:szCs w:val="24"/>
              </w:rPr>
              <w:t>is split</w:t>
            </w:r>
            <w:proofErr w:type="gramEnd"/>
            <w:r>
              <w:rPr>
                <w:szCs w:val="24"/>
              </w:rPr>
              <w:t xml:space="preserve"> into four categories, while component indicators themselves are split into three. </w:t>
            </w:r>
          </w:p>
        </w:tc>
        <w:tc>
          <w:tcPr>
            <w:tcW w:w="4165" w:type="dxa"/>
            <w:tcBorders>
              <w:top w:val="single" w:sz="8" w:space="0" w:color="4F81BD" w:themeColor="accent1"/>
              <w:left w:val="single" w:sz="8" w:space="0" w:color="4F81BD" w:themeColor="accent1"/>
              <w:bottom w:val="single" w:sz="8" w:space="0" w:color="4F81BD" w:themeColor="accent1"/>
            </w:tcBorders>
          </w:tcPr>
          <w:p w14:paraId="6252AAE8" w14:textId="3764C229" w:rsidR="00BF14A2" w:rsidRDefault="00BF14A2" w:rsidP="00BE4B5A">
            <w:pPr>
              <w:spacing w:line="240" w:lineRule="atLeast"/>
              <w:rPr>
                <w:szCs w:val="24"/>
              </w:rPr>
            </w:pPr>
            <w:r>
              <w:rPr>
                <w:szCs w:val="24"/>
              </w:rPr>
              <w:t>M</w:t>
            </w:r>
            <w:r w:rsidRPr="00190782">
              <w:rPr>
                <w:szCs w:val="24"/>
              </w:rPr>
              <w:t xml:space="preserve">ethodology </w:t>
            </w:r>
            <w:proofErr w:type="gramStart"/>
            <w:r w:rsidRPr="00190782">
              <w:rPr>
                <w:szCs w:val="24"/>
              </w:rPr>
              <w:t>is documented</w:t>
            </w:r>
            <w:proofErr w:type="gramEnd"/>
            <w:r w:rsidRPr="00190782">
              <w:rPr>
                <w:szCs w:val="24"/>
              </w:rPr>
              <w:t xml:space="preserve"> in the methodology document </w:t>
            </w:r>
            <w:r w:rsidRPr="003260C0">
              <w:rPr>
                <w:szCs w:val="24"/>
              </w:rPr>
              <w:t xml:space="preserve">(available </w:t>
            </w:r>
            <w:hyperlink r:id="rId23" w:history="1">
              <w:r w:rsidRPr="003260C0">
                <w:rPr>
                  <w:rStyle w:val="Hyperlink"/>
                  <w:szCs w:val="24"/>
                </w:rPr>
                <w:t>here</w:t>
              </w:r>
            </w:hyperlink>
            <w:r>
              <w:rPr>
                <w:szCs w:val="24"/>
              </w:rPr>
              <w:t>).</w:t>
            </w:r>
          </w:p>
        </w:tc>
      </w:tr>
      <w:tr w:rsidR="00BF14A2" w14:paraId="56D2C09D" w14:textId="77777777" w:rsidTr="00BF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vMerge/>
            <w:tcBorders>
              <w:right w:val="single" w:sz="8" w:space="0" w:color="4F81BD" w:themeColor="accent1"/>
            </w:tcBorders>
          </w:tcPr>
          <w:p w14:paraId="21EFC0C0" w14:textId="77777777" w:rsidR="00BF14A2" w:rsidRDefault="00BF14A2" w:rsidP="00FE572C">
            <w:pPr>
              <w:spacing w:line="240" w:lineRule="atLeast"/>
              <w:rPr>
                <w:szCs w:val="24"/>
              </w:rPr>
            </w:pPr>
          </w:p>
        </w:tc>
        <w:tc>
          <w:tcPr>
            <w:tcW w:w="3385" w:type="dxa"/>
            <w:tcBorders>
              <w:left w:val="single" w:sz="8" w:space="0" w:color="4F81BD" w:themeColor="accent1"/>
              <w:right w:val="single" w:sz="8" w:space="0" w:color="4F81BD" w:themeColor="accent1"/>
            </w:tcBorders>
          </w:tcPr>
          <w:p w14:paraId="05C23868"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proofErr w:type="gramStart"/>
            <w:r>
              <w:rPr>
                <w:szCs w:val="24"/>
              </w:rPr>
              <w:t xml:space="preserve">Difficulty in interpreting horizontal bar charts due to </w:t>
            </w:r>
            <w:r>
              <w:rPr>
                <w:szCs w:val="24"/>
              </w:rPr>
              <w:lastRenderedPageBreak/>
              <w:t>scaling and labelling.</w:t>
            </w:r>
            <w:proofErr w:type="gramEnd"/>
          </w:p>
        </w:tc>
        <w:tc>
          <w:tcPr>
            <w:tcW w:w="4165" w:type="dxa"/>
            <w:tcBorders>
              <w:left w:val="single" w:sz="8" w:space="0" w:color="4F81BD" w:themeColor="accent1"/>
            </w:tcBorders>
          </w:tcPr>
          <w:p w14:paraId="06FA992B"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lastRenderedPageBreak/>
              <w:t xml:space="preserve">Changes </w:t>
            </w:r>
            <w:proofErr w:type="gramStart"/>
            <w:r>
              <w:rPr>
                <w:szCs w:val="24"/>
              </w:rPr>
              <w:t>have been made</w:t>
            </w:r>
            <w:proofErr w:type="gramEnd"/>
            <w:r>
              <w:rPr>
                <w:szCs w:val="24"/>
              </w:rPr>
              <w:t xml:space="preserve"> to the scaling of the horizontal bar charts to </w:t>
            </w:r>
            <w:r>
              <w:rPr>
                <w:szCs w:val="24"/>
              </w:rPr>
              <w:lastRenderedPageBreak/>
              <w:t>make them easier to interpret.</w:t>
            </w:r>
          </w:p>
        </w:tc>
      </w:tr>
      <w:tr w:rsidR="00BF14A2" w14:paraId="4CA5D220" w14:textId="77777777" w:rsidTr="00BF14A2">
        <w:tc>
          <w:tcPr>
            <w:cnfStyle w:val="001000000000" w:firstRow="0" w:lastRow="0" w:firstColumn="1" w:lastColumn="0" w:oddVBand="0" w:evenVBand="0" w:oddHBand="0" w:evenHBand="0" w:firstRowFirstColumn="0" w:firstRowLastColumn="0" w:lastRowFirstColumn="0" w:lastRowLastColumn="0"/>
            <w:tcW w:w="2481" w:type="dxa"/>
            <w:vMerge/>
            <w:tcBorders>
              <w:top w:val="single" w:sz="8" w:space="0" w:color="4F81BD" w:themeColor="accent1"/>
              <w:bottom w:val="single" w:sz="8" w:space="0" w:color="4F81BD" w:themeColor="accent1"/>
              <w:right w:val="single" w:sz="8" w:space="0" w:color="4F81BD" w:themeColor="accent1"/>
            </w:tcBorders>
          </w:tcPr>
          <w:p w14:paraId="6E343780" w14:textId="77777777" w:rsidR="00BF14A2" w:rsidRDefault="00BF14A2" w:rsidP="00FE572C">
            <w:pPr>
              <w:spacing w:line="240" w:lineRule="atLeast"/>
              <w:rPr>
                <w:szCs w:val="24"/>
              </w:rPr>
            </w:pPr>
          </w:p>
        </w:tc>
        <w:tc>
          <w:tcPr>
            <w:tcW w:w="33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421BFD" w14:textId="77777777" w:rsidR="00BF14A2" w:rsidRDefault="00BF14A2" w:rsidP="00FE572C">
            <w:pPr>
              <w:spacing w:line="24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Lack of clarity in presentation around data e.g. why data are missing, the year of data and source of data</w:t>
            </w:r>
          </w:p>
        </w:tc>
        <w:tc>
          <w:tcPr>
            <w:tcW w:w="4165" w:type="dxa"/>
            <w:tcBorders>
              <w:top w:val="single" w:sz="8" w:space="0" w:color="4F81BD" w:themeColor="accent1"/>
              <w:left w:val="single" w:sz="8" w:space="0" w:color="4F81BD" w:themeColor="accent1"/>
              <w:bottom w:val="single" w:sz="8" w:space="0" w:color="4F81BD" w:themeColor="accent1"/>
            </w:tcBorders>
          </w:tcPr>
          <w:p w14:paraId="5738A7BA" w14:textId="77777777" w:rsidR="00BF14A2" w:rsidRDefault="00BF14A2" w:rsidP="00FE572C">
            <w:pPr>
              <w:spacing w:line="24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Metadata </w:t>
            </w:r>
            <w:proofErr w:type="gramStart"/>
            <w:r>
              <w:rPr>
                <w:szCs w:val="24"/>
              </w:rPr>
              <w:t>has been improved</w:t>
            </w:r>
            <w:proofErr w:type="gramEnd"/>
            <w:r>
              <w:rPr>
                <w:szCs w:val="24"/>
              </w:rPr>
              <w:t xml:space="preserve"> to ensure that users are able to understand why data are missing.  </w:t>
            </w:r>
          </w:p>
          <w:p w14:paraId="33877D36" w14:textId="77777777" w:rsidR="00BF14A2" w:rsidRDefault="00BF14A2" w:rsidP="00FE572C">
            <w:pPr>
              <w:spacing w:line="24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Value notes have been added to the tool to enable users to quickly understand why data maybe missing.</w:t>
            </w:r>
          </w:p>
          <w:p w14:paraId="6FDB5702" w14:textId="77777777" w:rsidR="00BF14A2" w:rsidRDefault="00BF14A2" w:rsidP="00FE572C">
            <w:pPr>
              <w:spacing w:line="240" w:lineRule="atLeast"/>
              <w:cnfStyle w:val="000000000000" w:firstRow="0" w:lastRow="0" w:firstColumn="0" w:lastColumn="0" w:oddVBand="0" w:evenVBand="0" w:oddHBand="0" w:evenHBand="0" w:firstRowFirstColumn="0" w:firstRowLastColumn="0" w:lastRowFirstColumn="0" w:lastRowLastColumn="0"/>
              <w:rPr>
                <w:szCs w:val="24"/>
              </w:rPr>
            </w:pPr>
            <w:proofErr w:type="gramStart"/>
            <w:r>
              <w:rPr>
                <w:szCs w:val="24"/>
              </w:rPr>
              <w:t>Time periods</w:t>
            </w:r>
            <w:proofErr w:type="gramEnd"/>
            <w:r>
              <w:rPr>
                <w:szCs w:val="24"/>
              </w:rPr>
              <w:t xml:space="preserve"> for each of the indicators has also been added to the tool.</w:t>
            </w:r>
          </w:p>
        </w:tc>
      </w:tr>
      <w:tr w:rsidR="00BF14A2" w14:paraId="300299A0" w14:textId="77777777" w:rsidTr="00BF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Borders>
              <w:right w:val="single" w:sz="8" w:space="0" w:color="4F81BD" w:themeColor="accent1"/>
            </w:tcBorders>
          </w:tcPr>
          <w:p w14:paraId="107AECC5" w14:textId="77777777" w:rsidR="00BF14A2" w:rsidRDefault="00BF14A2" w:rsidP="00FE572C">
            <w:pPr>
              <w:spacing w:line="240" w:lineRule="atLeast"/>
              <w:rPr>
                <w:szCs w:val="24"/>
              </w:rPr>
            </w:pPr>
            <w:r>
              <w:rPr>
                <w:szCs w:val="24"/>
              </w:rPr>
              <w:t>Benchmarking</w:t>
            </w:r>
          </w:p>
        </w:tc>
        <w:tc>
          <w:tcPr>
            <w:tcW w:w="3385" w:type="dxa"/>
            <w:tcBorders>
              <w:left w:val="single" w:sz="8" w:space="0" w:color="4F81BD" w:themeColor="accent1"/>
              <w:right w:val="single" w:sz="8" w:space="0" w:color="4F81BD" w:themeColor="accent1"/>
            </w:tcBorders>
          </w:tcPr>
          <w:p w14:paraId="56D9FE8F"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Request that CIPFA</w:t>
            </w:r>
            <w:r>
              <w:rPr>
                <w:szCs w:val="24"/>
                <w:vertAlign w:val="superscript"/>
              </w:rPr>
              <w:t>1</w:t>
            </w:r>
            <w:r>
              <w:rPr>
                <w:szCs w:val="24"/>
              </w:rPr>
              <w:t xml:space="preserve"> nearest neighbour groupings of local authorities </w:t>
            </w:r>
            <w:proofErr w:type="gramStart"/>
            <w:r>
              <w:rPr>
                <w:szCs w:val="24"/>
              </w:rPr>
              <w:t>be incorporated</w:t>
            </w:r>
            <w:proofErr w:type="gramEnd"/>
            <w:r>
              <w:rPr>
                <w:szCs w:val="24"/>
              </w:rPr>
              <w:t xml:space="preserve"> into tool.</w:t>
            </w:r>
          </w:p>
        </w:tc>
        <w:tc>
          <w:tcPr>
            <w:tcW w:w="4165" w:type="dxa"/>
            <w:tcBorders>
              <w:left w:val="single" w:sz="8" w:space="0" w:color="4F81BD" w:themeColor="accent1"/>
            </w:tcBorders>
          </w:tcPr>
          <w:p w14:paraId="0407883F"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CIPFA nearest neighbour groupings added in May 2018.</w:t>
            </w:r>
          </w:p>
        </w:tc>
      </w:tr>
      <w:tr w:rsidR="00BF14A2" w14:paraId="41B6758B" w14:textId="77777777" w:rsidTr="00BF14A2">
        <w:tc>
          <w:tcPr>
            <w:cnfStyle w:val="001000000000" w:firstRow="0" w:lastRow="0" w:firstColumn="1" w:lastColumn="0" w:oddVBand="0" w:evenVBand="0" w:oddHBand="0" w:evenHBand="0" w:firstRowFirstColumn="0" w:firstRowLastColumn="0" w:lastRowFirstColumn="0" w:lastRowLastColumn="0"/>
            <w:tcW w:w="2481" w:type="dxa"/>
            <w:vMerge w:val="restart"/>
            <w:tcBorders>
              <w:top w:val="single" w:sz="8" w:space="0" w:color="4F81BD" w:themeColor="accent1"/>
              <w:bottom w:val="single" w:sz="8" w:space="0" w:color="4F81BD" w:themeColor="accent1"/>
              <w:right w:val="single" w:sz="8" w:space="0" w:color="4F81BD" w:themeColor="accent1"/>
            </w:tcBorders>
          </w:tcPr>
          <w:p w14:paraId="6ECC6690" w14:textId="77777777" w:rsidR="00BF14A2" w:rsidRDefault="00BF14A2" w:rsidP="00FE572C">
            <w:pPr>
              <w:spacing w:line="240" w:lineRule="atLeast"/>
              <w:rPr>
                <w:b w:val="0"/>
                <w:bCs w:val="0"/>
                <w:szCs w:val="24"/>
              </w:rPr>
            </w:pPr>
            <w:r>
              <w:rPr>
                <w:szCs w:val="24"/>
              </w:rPr>
              <w:t>Accessibility</w:t>
            </w:r>
          </w:p>
          <w:p w14:paraId="3287A18B" w14:textId="77777777" w:rsidR="00BF14A2" w:rsidRDefault="00BF14A2" w:rsidP="00FE572C">
            <w:pPr>
              <w:spacing w:line="240" w:lineRule="atLeast"/>
              <w:rPr>
                <w:szCs w:val="24"/>
              </w:rPr>
            </w:pPr>
          </w:p>
        </w:tc>
        <w:tc>
          <w:tcPr>
            <w:tcW w:w="33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84D154F" w14:textId="77777777" w:rsidR="00BF14A2" w:rsidRDefault="00BF14A2" w:rsidP="00FE572C">
            <w:pPr>
              <w:spacing w:line="24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Problems downloading the data from the tool</w:t>
            </w:r>
          </w:p>
        </w:tc>
        <w:tc>
          <w:tcPr>
            <w:tcW w:w="4165" w:type="dxa"/>
            <w:tcBorders>
              <w:top w:val="single" w:sz="8" w:space="0" w:color="4F81BD" w:themeColor="accent1"/>
              <w:left w:val="single" w:sz="8" w:space="0" w:color="4F81BD" w:themeColor="accent1"/>
              <w:bottom w:val="single" w:sz="8" w:space="0" w:color="4F81BD" w:themeColor="accent1"/>
            </w:tcBorders>
          </w:tcPr>
          <w:p w14:paraId="603739EF" w14:textId="77777777" w:rsidR="00BF14A2" w:rsidRDefault="00BF14A2" w:rsidP="00FE572C">
            <w:pPr>
              <w:spacing w:line="24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Download functionality has been improved to enable user to download data in a .csv file.</w:t>
            </w:r>
          </w:p>
        </w:tc>
      </w:tr>
      <w:tr w:rsidR="00BF14A2" w14:paraId="706B763B" w14:textId="77777777" w:rsidTr="00BF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vMerge/>
            <w:tcBorders>
              <w:right w:val="single" w:sz="8" w:space="0" w:color="4F81BD" w:themeColor="accent1"/>
            </w:tcBorders>
          </w:tcPr>
          <w:p w14:paraId="0FC828AB" w14:textId="77777777" w:rsidR="00BF14A2" w:rsidRDefault="00BF14A2" w:rsidP="00FE572C">
            <w:pPr>
              <w:spacing w:line="240" w:lineRule="atLeast"/>
              <w:rPr>
                <w:szCs w:val="24"/>
              </w:rPr>
            </w:pPr>
          </w:p>
        </w:tc>
        <w:tc>
          <w:tcPr>
            <w:tcW w:w="3385" w:type="dxa"/>
            <w:tcBorders>
              <w:left w:val="single" w:sz="8" w:space="0" w:color="4F81BD" w:themeColor="accent1"/>
              <w:right w:val="single" w:sz="8" w:space="0" w:color="4F81BD" w:themeColor="accent1"/>
            </w:tcBorders>
          </w:tcPr>
          <w:p w14:paraId="0CCCF36D"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Navigating around the tool not particularly intuitive</w:t>
            </w:r>
          </w:p>
        </w:tc>
        <w:tc>
          <w:tcPr>
            <w:tcW w:w="4165" w:type="dxa"/>
            <w:tcBorders>
              <w:left w:val="single" w:sz="8" w:space="0" w:color="4F81BD" w:themeColor="accent1"/>
            </w:tcBorders>
          </w:tcPr>
          <w:p w14:paraId="2DA36521"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Improvements </w:t>
            </w:r>
            <w:proofErr w:type="gramStart"/>
            <w:r>
              <w:rPr>
                <w:szCs w:val="24"/>
              </w:rPr>
              <w:t>have been made</w:t>
            </w:r>
            <w:proofErr w:type="gramEnd"/>
            <w:r>
              <w:rPr>
                <w:szCs w:val="24"/>
              </w:rPr>
              <w:t xml:space="preserve"> to make navigating around the tool easier.</w:t>
            </w:r>
          </w:p>
        </w:tc>
      </w:tr>
      <w:tr w:rsidR="00BF14A2" w14:paraId="297B3581" w14:textId="77777777" w:rsidTr="00BF14A2">
        <w:tc>
          <w:tcPr>
            <w:cnfStyle w:val="001000000000" w:firstRow="0" w:lastRow="0" w:firstColumn="1" w:lastColumn="0" w:oddVBand="0" w:evenVBand="0" w:oddHBand="0" w:evenHBand="0" w:firstRowFirstColumn="0" w:firstRowLastColumn="0" w:lastRowFirstColumn="0" w:lastRowLastColumn="0"/>
            <w:tcW w:w="2481" w:type="dxa"/>
            <w:vMerge/>
            <w:tcBorders>
              <w:top w:val="single" w:sz="8" w:space="0" w:color="4F81BD" w:themeColor="accent1"/>
              <w:bottom w:val="single" w:sz="8" w:space="0" w:color="4F81BD" w:themeColor="accent1"/>
              <w:right w:val="single" w:sz="8" w:space="0" w:color="4F81BD" w:themeColor="accent1"/>
            </w:tcBorders>
          </w:tcPr>
          <w:p w14:paraId="65A3AE11" w14:textId="77777777" w:rsidR="00BF14A2" w:rsidRDefault="00BF14A2" w:rsidP="00FE572C">
            <w:pPr>
              <w:spacing w:line="240" w:lineRule="atLeast"/>
              <w:rPr>
                <w:szCs w:val="24"/>
              </w:rPr>
            </w:pPr>
          </w:p>
        </w:tc>
        <w:tc>
          <w:tcPr>
            <w:tcW w:w="33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359ACF3" w14:textId="77777777" w:rsidR="00BF14A2" w:rsidRDefault="00BF14A2" w:rsidP="00FE572C">
            <w:pPr>
              <w:spacing w:line="24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Metadata relating to component indicators should be made more prominent</w:t>
            </w:r>
          </w:p>
        </w:tc>
        <w:tc>
          <w:tcPr>
            <w:tcW w:w="4165" w:type="dxa"/>
            <w:tcBorders>
              <w:top w:val="single" w:sz="8" w:space="0" w:color="4F81BD" w:themeColor="accent1"/>
              <w:left w:val="single" w:sz="8" w:space="0" w:color="4F81BD" w:themeColor="accent1"/>
              <w:bottom w:val="single" w:sz="8" w:space="0" w:color="4F81BD" w:themeColor="accent1"/>
            </w:tcBorders>
          </w:tcPr>
          <w:p w14:paraId="324CB9E6" w14:textId="6F68B6CB" w:rsidR="00BF14A2" w:rsidRDefault="00BE4B5A" w:rsidP="00FE572C">
            <w:pPr>
              <w:spacing w:line="24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W</w:t>
            </w:r>
            <w:r w:rsidR="00BF14A2">
              <w:rPr>
                <w:szCs w:val="24"/>
              </w:rPr>
              <w:t>ays to make links to metadata made more prominent within the tool</w:t>
            </w:r>
            <w:r>
              <w:rPr>
                <w:szCs w:val="24"/>
              </w:rPr>
              <w:t xml:space="preserve"> </w:t>
            </w:r>
            <w:proofErr w:type="gramStart"/>
            <w:r>
              <w:rPr>
                <w:szCs w:val="24"/>
              </w:rPr>
              <w:t>are currently being explored</w:t>
            </w:r>
            <w:proofErr w:type="gramEnd"/>
            <w:r w:rsidR="00BF14A2">
              <w:rPr>
                <w:szCs w:val="24"/>
              </w:rPr>
              <w:t>.</w:t>
            </w:r>
          </w:p>
          <w:p w14:paraId="44847B4E" w14:textId="460E4447" w:rsidR="00BF14A2" w:rsidRDefault="00BF14A2" w:rsidP="00FE572C">
            <w:pPr>
              <w:spacing w:line="24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Hyperlinks to the metadata are contained within the indicator metada</w:t>
            </w:r>
            <w:bookmarkStart w:id="0" w:name="_GoBack"/>
            <w:bookmarkEnd w:id="0"/>
            <w:r>
              <w:rPr>
                <w:szCs w:val="24"/>
              </w:rPr>
              <w:t xml:space="preserve">ta document on the ‘About the data’ page </w:t>
            </w:r>
            <w:r w:rsidRPr="003260C0">
              <w:rPr>
                <w:szCs w:val="24"/>
              </w:rPr>
              <w:t xml:space="preserve">(available </w:t>
            </w:r>
            <w:hyperlink r:id="rId24" w:history="1">
              <w:r w:rsidRPr="003260C0">
                <w:rPr>
                  <w:rStyle w:val="Hyperlink"/>
                  <w:szCs w:val="24"/>
                </w:rPr>
                <w:t>here</w:t>
              </w:r>
            </w:hyperlink>
            <w:r w:rsidRPr="003260C0">
              <w:rPr>
                <w:szCs w:val="24"/>
              </w:rPr>
              <w:t>)</w:t>
            </w:r>
            <w:r>
              <w:rPr>
                <w:szCs w:val="24"/>
              </w:rPr>
              <w:t>.</w:t>
            </w:r>
          </w:p>
        </w:tc>
      </w:tr>
      <w:tr w:rsidR="00BF14A2" w14:paraId="4145DE5B" w14:textId="77777777" w:rsidTr="00BF1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1" w:type="dxa"/>
            <w:tcBorders>
              <w:right w:val="single" w:sz="8" w:space="0" w:color="4F81BD" w:themeColor="accent1"/>
            </w:tcBorders>
          </w:tcPr>
          <w:p w14:paraId="76C06B5A" w14:textId="77777777" w:rsidR="00BF14A2" w:rsidRDefault="00BF14A2" w:rsidP="00FE572C">
            <w:pPr>
              <w:spacing w:line="240" w:lineRule="atLeast"/>
              <w:rPr>
                <w:szCs w:val="24"/>
              </w:rPr>
            </w:pPr>
            <w:r>
              <w:rPr>
                <w:szCs w:val="24"/>
              </w:rPr>
              <w:t>Polarity</w:t>
            </w:r>
          </w:p>
        </w:tc>
        <w:tc>
          <w:tcPr>
            <w:tcW w:w="3385" w:type="dxa"/>
            <w:tcBorders>
              <w:left w:val="single" w:sz="8" w:space="0" w:color="4F81BD" w:themeColor="accent1"/>
              <w:right w:val="single" w:sz="8" w:space="0" w:color="4F81BD" w:themeColor="accent1"/>
            </w:tcBorders>
          </w:tcPr>
          <w:p w14:paraId="4EE36590"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Clarification around whether a high value for indicators and the summary rank indicator is “good” or “bad”</w:t>
            </w:r>
          </w:p>
        </w:tc>
        <w:tc>
          <w:tcPr>
            <w:tcW w:w="4165" w:type="dxa"/>
            <w:tcBorders>
              <w:left w:val="single" w:sz="8" w:space="0" w:color="4F81BD" w:themeColor="accent1"/>
            </w:tcBorders>
          </w:tcPr>
          <w:p w14:paraId="04BC278C" w14:textId="70E3FF95" w:rsidR="00BF14A2" w:rsidRPr="009E7B46" w:rsidRDefault="00BF14A2" w:rsidP="00BE4B5A">
            <w:pPr>
              <w:spacing w:line="240" w:lineRule="atLeast"/>
              <w:cnfStyle w:val="000000100000" w:firstRow="0" w:lastRow="0" w:firstColumn="0" w:lastColumn="0" w:oddVBand="0" w:evenVBand="0" w:oddHBand="1" w:evenHBand="0" w:firstRowFirstColumn="0" w:firstRowLastColumn="0" w:lastRowFirstColumn="0" w:lastRowLastColumn="0"/>
              <w:rPr>
                <w:szCs w:val="24"/>
              </w:rPr>
            </w:pPr>
            <w:r w:rsidRPr="009E7B46">
              <w:rPr>
                <w:szCs w:val="24"/>
              </w:rPr>
              <w:t xml:space="preserve">The terminology used to describe indicator categories </w:t>
            </w:r>
            <w:proofErr w:type="gramStart"/>
            <w:r w:rsidR="00BE4B5A">
              <w:rPr>
                <w:szCs w:val="24"/>
              </w:rPr>
              <w:t>was</w:t>
            </w:r>
            <w:r w:rsidRPr="009E7B46">
              <w:rPr>
                <w:szCs w:val="24"/>
              </w:rPr>
              <w:t xml:space="preserve"> revised</w:t>
            </w:r>
            <w:proofErr w:type="gramEnd"/>
            <w:r w:rsidRPr="009E7B46">
              <w:rPr>
                <w:szCs w:val="24"/>
              </w:rPr>
              <w:t xml:space="preserve"> in </w:t>
            </w:r>
            <w:r>
              <w:rPr>
                <w:szCs w:val="24"/>
              </w:rPr>
              <w:t>May</w:t>
            </w:r>
            <w:r w:rsidRPr="009E7B46">
              <w:rPr>
                <w:szCs w:val="24"/>
              </w:rPr>
              <w:t xml:space="preserve"> 2018 to make this clearer</w:t>
            </w:r>
            <w:r>
              <w:rPr>
                <w:szCs w:val="24"/>
              </w:rPr>
              <w:t>,</w:t>
            </w:r>
            <w:r w:rsidRPr="009E7B46">
              <w:rPr>
                <w:szCs w:val="24"/>
              </w:rPr>
              <w:t xml:space="preserve"> </w:t>
            </w:r>
            <w:r w:rsidRPr="009E7B46">
              <w:rPr>
                <w:bCs/>
              </w:rPr>
              <w:t xml:space="preserve">using </w:t>
            </w:r>
            <w:r w:rsidR="00BE4B5A">
              <w:rPr>
                <w:bCs/>
              </w:rPr>
              <w:t>similar</w:t>
            </w:r>
            <w:r w:rsidR="00BE4B5A" w:rsidRPr="009E7B46">
              <w:rPr>
                <w:bCs/>
              </w:rPr>
              <w:t xml:space="preserve"> </w:t>
            </w:r>
            <w:r w:rsidRPr="009E7B46">
              <w:rPr>
                <w:bCs/>
              </w:rPr>
              <w:t>terminology in Longer Lives</w:t>
            </w:r>
            <w:r w:rsidRPr="009E7B46">
              <w:rPr>
                <w:szCs w:val="24"/>
              </w:rPr>
              <w:t>.</w:t>
            </w:r>
          </w:p>
        </w:tc>
      </w:tr>
      <w:tr w:rsidR="00BF14A2" w14:paraId="17D8D45B" w14:textId="77777777" w:rsidTr="00BF14A2">
        <w:tc>
          <w:tcPr>
            <w:cnfStyle w:val="001000000000" w:firstRow="0" w:lastRow="0" w:firstColumn="1" w:lastColumn="0" w:oddVBand="0" w:evenVBand="0" w:oddHBand="0" w:evenHBand="0" w:firstRowFirstColumn="0" w:firstRowLastColumn="0" w:lastRowFirstColumn="0" w:lastRowLastColumn="0"/>
            <w:tcW w:w="2481" w:type="dxa"/>
            <w:vMerge w:val="restart"/>
            <w:tcBorders>
              <w:top w:val="single" w:sz="8" w:space="0" w:color="4F81BD" w:themeColor="accent1"/>
              <w:bottom w:val="single" w:sz="8" w:space="0" w:color="4F81BD" w:themeColor="accent1"/>
              <w:right w:val="single" w:sz="8" w:space="0" w:color="4F81BD" w:themeColor="accent1"/>
            </w:tcBorders>
          </w:tcPr>
          <w:p w14:paraId="30702140" w14:textId="77777777" w:rsidR="00BF14A2" w:rsidRDefault="00BF14A2" w:rsidP="00FE572C">
            <w:pPr>
              <w:spacing w:line="240" w:lineRule="atLeast"/>
              <w:rPr>
                <w:b w:val="0"/>
                <w:bCs w:val="0"/>
                <w:szCs w:val="24"/>
              </w:rPr>
            </w:pPr>
            <w:proofErr w:type="spellStart"/>
            <w:r>
              <w:rPr>
                <w:szCs w:val="24"/>
              </w:rPr>
              <w:t>Webtool</w:t>
            </w:r>
            <w:proofErr w:type="spellEnd"/>
            <w:r>
              <w:rPr>
                <w:szCs w:val="24"/>
              </w:rPr>
              <w:t xml:space="preserve"> functionality</w:t>
            </w:r>
          </w:p>
          <w:p w14:paraId="58B86612" w14:textId="77777777" w:rsidR="00BF14A2" w:rsidRDefault="00BF14A2" w:rsidP="00FE572C">
            <w:pPr>
              <w:spacing w:line="240" w:lineRule="atLeast"/>
              <w:rPr>
                <w:szCs w:val="24"/>
              </w:rPr>
            </w:pPr>
          </w:p>
        </w:tc>
        <w:tc>
          <w:tcPr>
            <w:tcW w:w="338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530A7DE" w14:textId="77777777" w:rsidR="00BF14A2" w:rsidRDefault="00BF14A2" w:rsidP="00FE572C">
            <w:pPr>
              <w:spacing w:line="240" w:lineRule="atLeast"/>
              <w:cnfStyle w:val="000000000000" w:firstRow="0" w:lastRow="0" w:firstColumn="0" w:lastColumn="0" w:oddVBand="0" w:evenVBand="0" w:oddHBand="0" w:evenHBand="0" w:firstRowFirstColumn="0" w:firstRowLastColumn="0" w:lastRowFirstColumn="0" w:lastRowLastColumn="0"/>
              <w:rPr>
                <w:szCs w:val="24"/>
              </w:rPr>
            </w:pPr>
            <w:proofErr w:type="gramStart"/>
            <w:r>
              <w:rPr>
                <w:szCs w:val="24"/>
              </w:rPr>
              <w:t>Request for the addition of trend data.</w:t>
            </w:r>
            <w:proofErr w:type="gramEnd"/>
          </w:p>
        </w:tc>
        <w:tc>
          <w:tcPr>
            <w:tcW w:w="4165" w:type="dxa"/>
            <w:tcBorders>
              <w:top w:val="single" w:sz="8" w:space="0" w:color="4F81BD" w:themeColor="accent1"/>
              <w:left w:val="single" w:sz="8" w:space="0" w:color="4F81BD" w:themeColor="accent1"/>
              <w:bottom w:val="single" w:sz="8" w:space="0" w:color="4F81BD" w:themeColor="accent1"/>
            </w:tcBorders>
          </w:tcPr>
          <w:p w14:paraId="26A4B5A2" w14:textId="77777777" w:rsidR="00BF14A2" w:rsidRDefault="00BF14A2" w:rsidP="00FE572C">
            <w:pPr>
              <w:spacing w:line="240" w:lineRule="atLeast"/>
              <w:cnfStyle w:val="000000000000" w:firstRow="0" w:lastRow="0" w:firstColumn="0" w:lastColumn="0" w:oddVBand="0" w:evenVBand="0" w:oddHBand="0" w:evenHBand="0" w:firstRowFirstColumn="0" w:firstRowLastColumn="0" w:lastRowFirstColumn="0" w:lastRowLastColumn="0"/>
              <w:rPr>
                <w:szCs w:val="24"/>
              </w:rPr>
            </w:pPr>
            <w:r>
              <w:rPr>
                <w:szCs w:val="24"/>
              </w:rPr>
              <w:t xml:space="preserve">The feasibility of a companion Fingertips profile </w:t>
            </w:r>
            <w:proofErr w:type="gramStart"/>
            <w:r>
              <w:rPr>
                <w:szCs w:val="24"/>
              </w:rPr>
              <w:t>which</w:t>
            </w:r>
            <w:proofErr w:type="gramEnd"/>
            <w:r>
              <w:rPr>
                <w:szCs w:val="24"/>
              </w:rPr>
              <w:t xml:space="preserve"> contains trend data functionality is being explored.</w:t>
            </w:r>
          </w:p>
        </w:tc>
      </w:tr>
      <w:tr w:rsidR="00BF14A2" w14:paraId="65FFE764" w14:textId="77777777" w:rsidTr="00BF14A2">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481" w:type="dxa"/>
            <w:vMerge/>
            <w:tcBorders>
              <w:right w:val="single" w:sz="8" w:space="0" w:color="4F81BD" w:themeColor="accent1"/>
            </w:tcBorders>
          </w:tcPr>
          <w:p w14:paraId="74576BFD" w14:textId="77777777" w:rsidR="00BF14A2" w:rsidRDefault="00BF14A2" w:rsidP="00FE572C">
            <w:pPr>
              <w:spacing w:line="240" w:lineRule="atLeast"/>
              <w:rPr>
                <w:szCs w:val="24"/>
              </w:rPr>
            </w:pPr>
          </w:p>
        </w:tc>
        <w:tc>
          <w:tcPr>
            <w:tcW w:w="3385" w:type="dxa"/>
            <w:tcBorders>
              <w:left w:val="single" w:sz="8" w:space="0" w:color="4F81BD" w:themeColor="accent1"/>
              <w:right w:val="single" w:sz="8" w:space="0" w:color="4F81BD" w:themeColor="accent1"/>
            </w:tcBorders>
          </w:tcPr>
          <w:p w14:paraId="58D6CD4F"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r>
              <w:rPr>
                <w:szCs w:val="24"/>
              </w:rPr>
              <w:t xml:space="preserve">Make it clearer what </w:t>
            </w:r>
            <w:proofErr w:type="gramStart"/>
            <w:r>
              <w:rPr>
                <w:szCs w:val="24"/>
              </w:rPr>
              <w:t>time period</w:t>
            </w:r>
            <w:proofErr w:type="gramEnd"/>
            <w:r>
              <w:rPr>
                <w:szCs w:val="24"/>
              </w:rPr>
              <w:t xml:space="preserve"> the data relate to.</w:t>
            </w:r>
          </w:p>
        </w:tc>
        <w:tc>
          <w:tcPr>
            <w:tcW w:w="4165" w:type="dxa"/>
            <w:tcBorders>
              <w:left w:val="single" w:sz="8" w:space="0" w:color="4F81BD" w:themeColor="accent1"/>
            </w:tcBorders>
          </w:tcPr>
          <w:p w14:paraId="438F280A" w14:textId="77777777" w:rsidR="00BF14A2" w:rsidRDefault="00BF14A2" w:rsidP="00FE572C">
            <w:pPr>
              <w:spacing w:line="240" w:lineRule="atLeast"/>
              <w:cnfStyle w:val="000000100000" w:firstRow="0" w:lastRow="0" w:firstColumn="0" w:lastColumn="0" w:oddVBand="0" w:evenVBand="0" w:oddHBand="1" w:evenHBand="0" w:firstRowFirstColumn="0" w:firstRowLastColumn="0" w:lastRowFirstColumn="0" w:lastRowLastColumn="0"/>
              <w:rPr>
                <w:szCs w:val="24"/>
              </w:rPr>
            </w:pPr>
            <w:proofErr w:type="gramStart"/>
            <w:r>
              <w:rPr>
                <w:szCs w:val="24"/>
              </w:rPr>
              <w:t>Time period</w:t>
            </w:r>
            <w:proofErr w:type="gramEnd"/>
            <w:r>
              <w:rPr>
                <w:szCs w:val="24"/>
              </w:rPr>
              <w:t xml:space="preserve"> for all of the indicators within the dashboard has been made more prominent within the tool.   </w:t>
            </w:r>
          </w:p>
        </w:tc>
      </w:tr>
    </w:tbl>
    <w:p w14:paraId="218C5415" w14:textId="45C81A4F" w:rsidR="00D107D4" w:rsidRPr="001564B7" w:rsidRDefault="001564B7" w:rsidP="003260C0">
      <w:pPr>
        <w:spacing w:line="240" w:lineRule="atLeast"/>
        <w:rPr>
          <w:szCs w:val="24"/>
        </w:rPr>
      </w:pPr>
      <w:r>
        <w:rPr>
          <w:szCs w:val="24"/>
          <w:vertAlign w:val="superscript"/>
        </w:rPr>
        <w:t>1</w:t>
      </w:r>
      <w:r>
        <w:rPr>
          <w:szCs w:val="24"/>
        </w:rPr>
        <w:t>Chartered Institute of Public Finance Accounting</w:t>
      </w:r>
    </w:p>
    <w:p w14:paraId="1F82704A" w14:textId="77777777" w:rsidR="00D107D4" w:rsidRDefault="00D107D4" w:rsidP="003260C0">
      <w:pPr>
        <w:spacing w:line="240" w:lineRule="atLeast"/>
        <w:rPr>
          <w:szCs w:val="24"/>
        </w:rPr>
      </w:pPr>
    </w:p>
    <w:p w14:paraId="50ED59F3" w14:textId="4BAE4F2C" w:rsidR="00ED3F12" w:rsidRDefault="00ED3F12" w:rsidP="003260C0">
      <w:pPr>
        <w:spacing w:line="240" w:lineRule="atLeast"/>
        <w:rPr>
          <w:b/>
          <w:szCs w:val="24"/>
        </w:rPr>
      </w:pPr>
    </w:p>
    <w:sectPr w:rsidR="00ED3F12" w:rsidSect="0066185B">
      <w:headerReference w:type="default" r:id="rId25"/>
      <w:footerReference w:type="default" r:id="rId26"/>
      <w:headerReference w:type="first" r:id="rId27"/>
      <w:footerReference w:type="first" r:id="rId28"/>
      <w:pgSz w:w="11906" w:h="16838" w:code="9"/>
      <w:pgMar w:top="1701" w:right="907" w:bottom="1134" w:left="851" w:header="720" w:footer="720" w:gutter="0"/>
      <w:cols w:space="720"/>
      <w:formProt w:val="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FB0DD0" w15:done="0"/>
  <w15:commentEx w15:paraId="63089E2A" w15:done="0"/>
  <w15:commentEx w15:paraId="4F69BEAD" w15:done="0"/>
  <w15:commentEx w15:paraId="14C378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F2991" w14:textId="77777777" w:rsidR="002B7EBF" w:rsidRDefault="002B7EBF">
      <w:r>
        <w:separator/>
      </w:r>
    </w:p>
    <w:p w14:paraId="254A8727" w14:textId="77777777" w:rsidR="002B7EBF" w:rsidRDefault="002B7EBF"/>
    <w:p w14:paraId="372FB72A" w14:textId="77777777" w:rsidR="002B7EBF" w:rsidRDefault="002B7EBF"/>
  </w:endnote>
  <w:endnote w:type="continuationSeparator" w:id="0">
    <w:p w14:paraId="5DE429F9" w14:textId="77777777" w:rsidR="002B7EBF" w:rsidRDefault="002B7EBF">
      <w:r>
        <w:continuationSeparator/>
      </w:r>
    </w:p>
    <w:p w14:paraId="152B0CD4" w14:textId="77777777" w:rsidR="002B7EBF" w:rsidRDefault="002B7EBF"/>
    <w:p w14:paraId="2F97CC8D" w14:textId="77777777" w:rsidR="002B7EBF" w:rsidRDefault="002B7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9165" w14:textId="77777777" w:rsidR="00DB5D10" w:rsidRDefault="00DB5D10">
    <w:pPr>
      <w:framePr w:wrap="around" w:vAnchor="text" w:hAnchor="margin" w:xAlign="right" w:y="1"/>
    </w:pPr>
    <w:r>
      <w:fldChar w:fldCharType="begin"/>
    </w:r>
    <w:r>
      <w:instrText xml:space="preserve">PAGE  </w:instrText>
    </w:r>
    <w:r>
      <w:fldChar w:fldCharType="end"/>
    </w:r>
  </w:p>
  <w:p w14:paraId="10679CA5" w14:textId="77777777" w:rsidR="00DB5D10" w:rsidRDefault="00DB5D1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AEB76" w14:textId="77777777" w:rsidR="00DB5D10" w:rsidRPr="00502BE9" w:rsidRDefault="00DB5D10">
    <w:pPr>
      <w:jc w:val="center"/>
    </w:pPr>
    <w:r w:rsidRPr="00502BE9">
      <w:fldChar w:fldCharType="begin"/>
    </w:r>
    <w:r w:rsidRPr="00502BE9">
      <w:instrText xml:space="preserve"> PAGE   \* MERGEFORMAT </w:instrText>
    </w:r>
    <w:r w:rsidRPr="00502BE9">
      <w:fldChar w:fldCharType="separate"/>
    </w:r>
    <w:r w:rsidR="004E23A4">
      <w:rPr>
        <w:noProof/>
      </w:rPr>
      <w:t>2</w:t>
    </w:r>
    <w:r w:rsidRPr="00502BE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4C3D" w14:textId="77777777" w:rsidR="00DB5D10" w:rsidRDefault="00181316">
    <w:pPr>
      <w:ind w:right="360"/>
    </w:pPr>
    <w:r>
      <w:rPr>
        <w:noProof/>
        <w:lang w:eastAsia="en-GB"/>
      </w:rPr>
      <mc:AlternateContent>
        <mc:Choice Requires="wps">
          <w:drawing>
            <wp:anchor distT="0" distB="0" distL="114300" distR="114300" simplePos="0" relativeHeight="251657728" behindDoc="0" locked="0" layoutInCell="1" allowOverlap="1" wp14:anchorId="3DA8DEE6" wp14:editId="127C0436">
              <wp:simplePos x="0" y="0"/>
              <wp:positionH relativeFrom="column">
                <wp:posOffset>-808990</wp:posOffset>
              </wp:positionH>
              <wp:positionV relativeFrom="paragraph">
                <wp:posOffset>-248920</wp:posOffset>
              </wp:positionV>
              <wp:extent cx="7745095" cy="635"/>
              <wp:effectExtent l="0" t="38100" r="27305" b="755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BBC3B6" id="_x0000_t32" coordsize="21600,21600" o:spt="32" o:oned="t" path="m,l21600,21600e" filled="f">
              <v:path arrowok="t" fillok="f" o:connecttype="none"/>
              <o:lock v:ext="edit" shapetype="t"/>
            </v:shapetype>
            <v:shape id="AutoShape 7" o:spid="_x0000_s1026" type="#_x0000_t32" style="position:absolute;margin-left:-63.7pt;margin-top:-19.6pt;width:609.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" strokecolor="#00ae9e" strokeweight="7pt"/>
          </w:pict>
        </mc:Fallback>
      </mc:AlternateContent>
    </w:r>
    <w:r>
      <w:rPr>
        <w:noProof/>
        <w:lang w:eastAsia="en-GB"/>
      </w:rPr>
      <mc:AlternateContent>
        <mc:Choice Requires="wps">
          <w:drawing>
            <wp:anchor distT="0" distB="0" distL="114300" distR="114300" simplePos="0" relativeHeight="251656704" behindDoc="0" locked="0" layoutInCell="1" allowOverlap="1" wp14:anchorId="3ABA3940" wp14:editId="1533177B">
              <wp:simplePos x="0" y="0"/>
              <wp:positionH relativeFrom="column">
                <wp:posOffset>-951865</wp:posOffset>
              </wp:positionH>
              <wp:positionV relativeFrom="paragraph">
                <wp:posOffset>-233045</wp:posOffset>
              </wp:positionV>
              <wp:extent cx="7887970" cy="982345"/>
              <wp:effectExtent l="19050" t="19050" r="36830" b="654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6326CB" id="Rectangle 6" o:spid="_x0000_s1026" style="position:absolute;margin-left:-74.95pt;margin-top:-18.35pt;width:621.1pt;height:7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" fillcolor="#98002e" strokecolor="#f2f2f2" strokeweight="3pt">
              <v:shadow on="t" color="#622423" opacity=".5" offset="1pt"/>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4A2DA" w14:textId="77777777" w:rsidR="004E23A4" w:rsidRPr="00BA6058" w:rsidRDefault="004E23A4">
    <w:pPr>
      <w:jc w:val="center"/>
      <w:rPr>
        <w:sz w:val="20"/>
      </w:rPr>
    </w:pPr>
    <w:r w:rsidRPr="00BA6058">
      <w:rPr>
        <w:sz w:val="20"/>
      </w:rPr>
      <w:fldChar w:fldCharType="begin"/>
    </w:r>
    <w:r w:rsidRPr="00BA6058">
      <w:rPr>
        <w:sz w:val="20"/>
      </w:rPr>
      <w:instrText xml:space="preserve"> PAGE   \* MERGEFORMAT </w:instrText>
    </w:r>
    <w:r w:rsidRPr="00BA6058">
      <w:rPr>
        <w:sz w:val="20"/>
      </w:rPr>
      <w:fldChar w:fldCharType="separate"/>
    </w:r>
    <w:r w:rsidR="00692FA1">
      <w:rPr>
        <w:noProof/>
        <w:sz w:val="20"/>
      </w:rPr>
      <w:t>4</w:t>
    </w:r>
    <w:r w:rsidRPr="00BA6058">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027C" w14:textId="77777777" w:rsidR="0066185B" w:rsidRPr="001C268F" w:rsidRDefault="0066185B" w:rsidP="0066185B">
    <w:pPr>
      <w:jc w:val="center"/>
      <w:rPr>
        <w:sz w:val="20"/>
      </w:rPr>
    </w:pPr>
    <w:r w:rsidRPr="001C268F">
      <w:rPr>
        <w:sz w:val="20"/>
      </w:rPr>
      <w:fldChar w:fldCharType="begin"/>
    </w:r>
    <w:r w:rsidRPr="001C268F">
      <w:rPr>
        <w:sz w:val="20"/>
      </w:rPr>
      <w:instrText xml:space="preserve"> PAGE   \* MERGEFORMAT </w:instrText>
    </w:r>
    <w:r w:rsidRPr="001C268F">
      <w:rPr>
        <w:sz w:val="20"/>
      </w:rPr>
      <w:fldChar w:fldCharType="separate"/>
    </w:r>
    <w:r w:rsidR="00692FA1">
      <w:rPr>
        <w:noProof/>
        <w:sz w:val="20"/>
      </w:rPr>
      <w:t>2</w:t>
    </w:r>
    <w:r w:rsidRPr="001C268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77EB8" w14:textId="77777777" w:rsidR="002B7EBF" w:rsidRDefault="002B7EBF">
      <w:r>
        <w:separator/>
      </w:r>
    </w:p>
    <w:p w14:paraId="2365542E" w14:textId="77777777" w:rsidR="002B7EBF" w:rsidRDefault="002B7EBF"/>
    <w:p w14:paraId="015B1B71" w14:textId="77777777" w:rsidR="002B7EBF" w:rsidRDefault="002B7EBF"/>
  </w:footnote>
  <w:footnote w:type="continuationSeparator" w:id="0">
    <w:p w14:paraId="533CFBA8" w14:textId="77777777" w:rsidR="002B7EBF" w:rsidRDefault="002B7EBF">
      <w:r>
        <w:continuationSeparator/>
      </w:r>
    </w:p>
    <w:p w14:paraId="658F3202" w14:textId="77777777" w:rsidR="002B7EBF" w:rsidRDefault="002B7EBF"/>
    <w:p w14:paraId="417E744E" w14:textId="77777777" w:rsidR="002B7EBF" w:rsidRDefault="002B7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9B21" w14:textId="77777777" w:rsidR="00DB5D10" w:rsidRDefault="00181316" w:rsidP="009E3727">
    <w:pPr>
      <w:ind w:left="-284"/>
    </w:pPr>
    <w:r>
      <w:rPr>
        <w:noProof/>
        <w:lang w:eastAsia="en-GB"/>
      </w:rPr>
      <w:drawing>
        <wp:anchor distT="0" distB="0" distL="114300" distR="114300" simplePos="0" relativeHeight="251658752" behindDoc="0" locked="0" layoutInCell="1" allowOverlap="1" wp14:anchorId="5C5A7166" wp14:editId="14BD4FBE">
          <wp:simplePos x="0" y="0"/>
          <wp:positionH relativeFrom="column">
            <wp:posOffset>-659130</wp:posOffset>
          </wp:positionH>
          <wp:positionV relativeFrom="paragraph">
            <wp:posOffset>-442595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16A86" w14:textId="77777777" w:rsidR="00DB5D10" w:rsidRPr="006A608E" w:rsidRDefault="00247CDA" w:rsidP="006A608E">
    <w:pPr>
      <w:pStyle w:val="PHEMaintitleasrunningheader"/>
    </w:pPr>
    <w:r w:rsidRPr="006A608E">
      <w:t xml:space="preserve">Main title </w:t>
    </w:r>
    <w:r w:rsidR="00DB5D10" w:rsidRPr="006A608E">
      <w:t>goes here as running header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FACF6" w14:textId="77777777" w:rsidR="00DB5D10" w:rsidRPr="00F56588" w:rsidRDefault="00DB5D10" w:rsidP="006A608E">
    <w:pPr>
      <w:pStyle w:val="PHEMaintitleasrunningheader"/>
    </w:pPr>
    <w:r w:rsidRPr="009B3EFB">
      <w:t>Title goes here as running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070"/>
    <w:multiLevelType w:val="hybridMultilevel"/>
    <w:tmpl w:val="811C9C12"/>
    <w:lvl w:ilvl="0" w:tplc="F3C6A8BE">
      <w:start w:val="1"/>
      <w:numFmt w:val="bullet"/>
      <w:lvlText w:val=""/>
      <w:lvlJc w:val="left"/>
      <w:pPr>
        <w:tabs>
          <w:tab w:val="num" w:pos="360"/>
        </w:tabs>
        <w:ind w:left="360" w:hanging="360"/>
      </w:pPr>
      <w:rPr>
        <w:rFonts w:ascii="Symbol" w:hAnsi="Symbol" w:hint="default"/>
        <w:color w:val="98002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44645"/>
    <w:multiLevelType w:val="hybridMultilevel"/>
    <w:tmpl w:val="15DCD9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FB4341"/>
    <w:multiLevelType w:val="hybridMultilevel"/>
    <w:tmpl w:val="D1A08CB6"/>
    <w:lvl w:ilvl="0" w:tplc="AF06F8B0">
      <w:start w:val="1"/>
      <w:numFmt w:val="bullet"/>
      <w:lvlText w:val="&gt;"/>
      <w:lvlJc w:val="left"/>
      <w:pPr>
        <w:tabs>
          <w:tab w:val="num" w:pos="720"/>
        </w:tabs>
        <w:ind w:left="720" w:hanging="360"/>
      </w:pPr>
      <w:rPr>
        <w:rFonts w:ascii="Times New Roman" w:hAnsi="Times New Roman" w:hint="default"/>
        <w:color w:val="009966"/>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853C6"/>
    <w:multiLevelType w:val="hybridMultilevel"/>
    <w:tmpl w:val="14C6656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E86FA6"/>
    <w:multiLevelType w:val="hybridMultilevel"/>
    <w:tmpl w:val="10502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B26FFF"/>
    <w:multiLevelType w:val="hybridMultilevel"/>
    <w:tmpl w:val="B54EE4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BC518A"/>
    <w:multiLevelType w:val="hybridMultilevel"/>
    <w:tmpl w:val="E69CAE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FDA0CF7"/>
    <w:multiLevelType w:val="hybridMultilevel"/>
    <w:tmpl w:val="242C0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073D76"/>
    <w:multiLevelType w:val="hybridMultilevel"/>
    <w:tmpl w:val="55982EE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D0047D"/>
    <w:multiLevelType w:val="hybridMultilevel"/>
    <w:tmpl w:val="DD185A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B137CE1"/>
    <w:multiLevelType w:val="multilevel"/>
    <w:tmpl w:val="28E08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C182A28"/>
    <w:multiLevelType w:val="hybridMultilevel"/>
    <w:tmpl w:val="87D2FEA2"/>
    <w:lvl w:ilvl="0" w:tplc="13006542">
      <w:start w:val="1"/>
      <w:numFmt w:val="decimal"/>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hint="default"/>
        <w:color w:val="009966"/>
        <w:sz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13">
    <w:nsid w:val="45202BEF"/>
    <w:multiLevelType w:val="hybridMultilevel"/>
    <w:tmpl w:val="7832B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021071"/>
    <w:multiLevelType w:val="hybridMultilevel"/>
    <w:tmpl w:val="D1A0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301C29"/>
    <w:multiLevelType w:val="multilevel"/>
    <w:tmpl w:val="28B656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FCD1F25"/>
    <w:multiLevelType w:val="hybridMultilevel"/>
    <w:tmpl w:val="2D84A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3F73B7"/>
    <w:multiLevelType w:val="hybridMultilevel"/>
    <w:tmpl w:val="F8DCBBD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9142C86"/>
    <w:multiLevelType w:val="hybridMultilevel"/>
    <w:tmpl w:val="009A50C0"/>
    <w:lvl w:ilvl="0" w:tplc="66065E7A">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6B6CB0"/>
    <w:multiLevelType w:val="hybridMultilevel"/>
    <w:tmpl w:val="85D0E184"/>
    <w:lvl w:ilvl="0" w:tplc="05DC4C98">
      <w:start w:val="1"/>
      <w:numFmt w:val="bullet"/>
      <w:lvlText w:val=""/>
      <w:lvlJc w:val="left"/>
      <w:pPr>
        <w:tabs>
          <w:tab w:val="num" w:pos="360"/>
        </w:tabs>
        <w:ind w:left="360" w:hanging="360"/>
      </w:pPr>
      <w:rPr>
        <w:rFonts w:ascii="Symbol" w:hAnsi="Symbol" w:hint="default"/>
        <w:color w:val="0099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226ABA"/>
    <w:multiLevelType w:val="hybridMultilevel"/>
    <w:tmpl w:val="85D0E184"/>
    <w:lvl w:ilvl="0" w:tplc="0494F300">
      <w:start w:val="1"/>
      <w:numFmt w:val="bullet"/>
      <w:lvlText w:val="●"/>
      <w:lvlJc w:val="left"/>
      <w:pPr>
        <w:tabs>
          <w:tab w:val="num" w:pos="360"/>
        </w:tabs>
        <w:ind w:left="255" w:hanging="255"/>
      </w:pPr>
      <w:rPr>
        <w:rFonts w:hAnsi="Microsoft Sans Serif" w:hint="default"/>
        <w:color w:val="FFFF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5CC349"/>
    <w:multiLevelType w:val="hybridMultilevel"/>
    <w:tmpl w:val="F2B3AA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7A266B3"/>
    <w:multiLevelType w:val="hybridMultilevel"/>
    <w:tmpl w:val="53204FCC"/>
    <w:lvl w:ilvl="0" w:tplc="D3760C78">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21"/>
  </w:num>
  <w:num w:numId="5">
    <w:abstractNumId w:val="20"/>
  </w:num>
  <w:num w:numId="6">
    <w:abstractNumId w:val="19"/>
  </w:num>
  <w:num w:numId="7">
    <w:abstractNumId w:val="18"/>
  </w:num>
  <w:num w:numId="8">
    <w:abstractNumId w:val="11"/>
  </w:num>
  <w:num w:numId="9">
    <w:abstractNumId w:val="15"/>
  </w:num>
  <w:num w:numId="10">
    <w:abstractNumId w:val="7"/>
  </w:num>
  <w:num w:numId="11">
    <w:abstractNumId w:val="0"/>
  </w:num>
  <w:num w:numId="12">
    <w:abstractNumId w:val="22"/>
  </w:num>
  <w:num w:numId="13">
    <w:abstractNumId w:val="16"/>
  </w:num>
  <w:num w:numId="14">
    <w:abstractNumId w:val="6"/>
  </w:num>
  <w:num w:numId="15">
    <w:abstractNumId w:val="4"/>
  </w:num>
  <w:num w:numId="16">
    <w:abstractNumId w:val="10"/>
  </w:num>
  <w:num w:numId="17">
    <w:abstractNumId w:val="17"/>
  </w:num>
  <w:num w:numId="18">
    <w:abstractNumId w:val="3"/>
  </w:num>
  <w:num w:numId="19">
    <w:abstractNumId w:val="9"/>
  </w:num>
  <w:num w:numId="20">
    <w:abstractNumId w:val="8"/>
  </w:num>
  <w:num w:numId="21">
    <w:abstractNumId w:val="13"/>
  </w:num>
  <w:num w:numId="22">
    <w:abstractNumId w:val="1"/>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e Fitzpatrick">
    <w15:presenceInfo w15:providerId="AD" w15:userId="S-1-5-21-3685816821-1215056363-1987234180-8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BF"/>
    <w:rsid w:val="00012F0C"/>
    <w:rsid w:val="0001370A"/>
    <w:rsid w:val="00013C14"/>
    <w:rsid w:val="00035943"/>
    <w:rsid w:val="000369C3"/>
    <w:rsid w:val="00040598"/>
    <w:rsid w:val="00045596"/>
    <w:rsid w:val="000458A0"/>
    <w:rsid w:val="000476C8"/>
    <w:rsid w:val="0005545E"/>
    <w:rsid w:val="00055B60"/>
    <w:rsid w:val="000614DE"/>
    <w:rsid w:val="00062790"/>
    <w:rsid w:val="00064704"/>
    <w:rsid w:val="00067257"/>
    <w:rsid w:val="00073BF0"/>
    <w:rsid w:val="000879FD"/>
    <w:rsid w:val="000A01E0"/>
    <w:rsid w:val="000A06DA"/>
    <w:rsid w:val="000A3725"/>
    <w:rsid w:val="000C1A48"/>
    <w:rsid w:val="000C3FA2"/>
    <w:rsid w:val="000C59EF"/>
    <w:rsid w:val="000D3CA9"/>
    <w:rsid w:val="000D6412"/>
    <w:rsid w:val="000E375F"/>
    <w:rsid w:val="000F4C8A"/>
    <w:rsid w:val="00113761"/>
    <w:rsid w:val="00113ABE"/>
    <w:rsid w:val="00135863"/>
    <w:rsid w:val="00141352"/>
    <w:rsid w:val="001464EB"/>
    <w:rsid w:val="001564B7"/>
    <w:rsid w:val="00160325"/>
    <w:rsid w:val="001610F8"/>
    <w:rsid w:val="0017739B"/>
    <w:rsid w:val="00181316"/>
    <w:rsid w:val="001839BE"/>
    <w:rsid w:val="00185698"/>
    <w:rsid w:val="00190782"/>
    <w:rsid w:val="001A183A"/>
    <w:rsid w:val="001B59F4"/>
    <w:rsid w:val="001B6BFF"/>
    <w:rsid w:val="001B7559"/>
    <w:rsid w:val="001C268F"/>
    <w:rsid w:val="001D0714"/>
    <w:rsid w:val="001F47E2"/>
    <w:rsid w:val="001F6B78"/>
    <w:rsid w:val="001F6D46"/>
    <w:rsid w:val="0020553C"/>
    <w:rsid w:val="00213E39"/>
    <w:rsid w:val="00221B80"/>
    <w:rsid w:val="0023192F"/>
    <w:rsid w:val="00234EF6"/>
    <w:rsid w:val="00235E7C"/>
    <w:rsid w:val="002375D7"/>
    <w:rsid w:val="0024667D"/>
    <w:rsid w:val="00247CDA"/>
    <w:rsid w:val="002553F3"/>
    <w:rsid w:val="00256806"/>
    <w:rsid w:val="0027273F"/>
    <w:rsid w:val="00275E53"/>
    <w:rsid w:val="0027613C"/>
    <w:rsid w:val="00282B39"/>
    <w:rsid w:val="00284003"/>
    <w:rsid w:val="00286DB6"/>
    <w:rsid w:val="002917ED"/>
    <w:rsid w:val="00295D47"/>
    <w:rsid w:val="002A2775"/>
    <w:rsid w:val="002B005B"/>
    <w:rsid w:val="002B27AA"/>
    <w:rsid w:val="002B3CCC"/>
    <w:rsid w:val="002B7EBF"/>
    <w:rsid w:val="002D3F18"/>
    <w:rsid w:val="002D43D4"/>
    <w:rsid w:val="00302FA8"/>
    <w:rsid w:val="00316B3B"/>
    <w:rsid w:val="003260C0"/>
    <w:rsid w:val="00336C7B"/>
    <w:rsid w:val="003373C2"/>
    <w:rsid w:val="0037240A"/>
    <w:rsid w:val="0037441D"/>
    <w:rsid w:val="00382712"/>
    <w:rsid w:val="00390042"/>
    <w:rsid w:val="003B1913"/>
    <w:rsid w:val="003B364D"/>
    <w:rsid w:val="003D4625"/>
    <w:rsid w:val="003E2410"/>
    <w:rsid w:val="003F1C59"/>
    <w:rsid w:val="004127D9"/>
    <w:rsid w:val="00421192"/>
    <w:rsid w:val="004218E6"/>
    <w:rsid w:val="00423AE2"/>
    <w:rsid w:val="00433A45"/>
    <w:rsid w:val="0046338F"/>
    <w:rsid w:val="0046555E"/>
    <w:rsid w:val="00475F12"/>
    <w:rsid w:val="00496201"/>
    <w:rsid w:val="00497E97"/>
    <w:rsid w:val="004A31C7"/>
    <w:rsid w:val="004A3965"/>
    <w:rsid w:val="004A5B28"/>
    <w:rsid w:val="004C56F7"/>
    <w:rsid w:val="004D67BD"/>
    <w:rsid w:val="004E23A4"/>
    <w:rsid w:val="004F692D"/>
    <w:rsid w:val="004F6D96"/>
    <w:rsid w:val="00502BE9"/>
    <w:rsid w:val="0052440C"/>
    <w:rsid w:val="00541D44"/>
    <w:rsid w:val="00547B95"/>
    <w:rsid w:val="00555E62"/>
    <w:rsid w:val="005771B1"/>
    <w:rsid w:val="005813D4"/>
    <w:rsid w:val="00584AB4"/>
    <w:rsid w:val="00586A58"/>
    <w:rsid w:val="005878D5"/>
    <w:rsid w:val="00591949"/>
    <w:rsid w:val="00593C11"/>
    <w:rsid w:val="00594178"/>
    <w:rsid w:val="005B3484"/>
    <w:rsid w:val="005B41C1"/>
    <w:rsid w:val="005B67DA"/>
    <w:rsid w:val="005D231B"/>
    <w:rsid w:val="005E212D"/>
    <w:rsid w:val="005E34F7"/>
    <w:rsid w:val="005F328E"/>
    <w:rsid w:val="005F4B6C"/>
    <w:rsid w:val="00610393"/>
    <w:rsid w:val="0062400F"/>
    <w:rsid w:val="006268FF"/>
    <w:rsid w:val="006372ED"/>
    <w:rsid w:val="006504AC"/>
    <w:rsid w:val="00652369"/>
    <w:rsid w:val="0066185B"/>
    <w:rsid w:val="00662AD9"/>
    <w:rsid w:val="006777C2"/>
    <w:rsid w:val="00692FA1"/>
    <w:rsid w:val="0069310C"/>
    <w:rsid w:val="0069535D"/>
    <w:rsid w:val="006A608E"/>
    <w:rsid w:val="006B0238"/>
    <w:rsid w:val="006C214A"/>
    <w:rsid w:val="006D51C6"/>
    <w:rsid w:val="006E788D"/>
    <w:rsid w:val="006F5254"/>
    <w:rsid w:val="00702A56"/>
    <w:rsid w:val="00713232"/>
    <w:rsid w:val="00734230"/>
    <w:rsid w:val="0075415A"/>
    <w:rsid w:val="00787E9D"/>
    <w:rsid w:val="00791AA6"/>
    <w:rsid w:val="0079568E"/>
    <w:rsid w:val="007A553F"/>
    <w:rsid w:val="007B1CD6"/>
    <w:rsid w:val="007B65C9"/>
    <w:rsid w:val="007B7D76"/>
    <w:rsid w:val="007C2357"/>
    <w:rsid w:val="007D7FC2"/>
    <w:rsid w:val="007E3FBF"/>
    <w:rsid w:val="007F25DB"/>
    <w:rsid w:val="00811342"/>
    <w:rsid w:val="00830C45"/>
    <w:rsid w:val="00846C43"/>
    <w:rsid w:val="00850F3A"/>
    <w:rsid w:val="00854903"/>
    <w:rsid w:val="00875DF1"/>
    <w:rsid w:val="00877F0E"/>
    <w:rsid w:val="008A64B4"/>
    <w:rsid w:val="008B566F"/>
    <w:rsid w:val="008B794E"/>
    <w:rsid w:val="008D0807"/>
    <w:rsid w:val="008D704D"/>
    <w:rsid w:val="008F1049"/>
    <w:rsid w:val="008F3568"/>
    <w:rsid w:val="00910459"/>
    <w:rsid w:val="009122B8"/>
    <w:rsid w:val="00914B31"/>
    <w:rsid w:val="00915910"/>
    <w:rsid w:val="00934587"/>
    <w:rsid w:val="009358A9"/>
    <w:rsid w:val="0093642B"/>
    <w:rsid w:val="0093737B"/>
    <w:rsid w:val="00943711"/>
    <w:rsid w:val="00946E72"/>
    <w:rsid w:val="00952DF8"/>
    <w:rsid w:val="00955772"/>
    <w:rsid w:val="00967C44"/>
    <w:rsid w:val="00975446"/>
    <w:rsid w:val="00980489"/>
    <w:rsid w:val="00982AAD"/>
    <w:rsid w:val="0098335E"/>
    <w:rsid w:val="009B11EE"/>
    <w:rsid w:val="009B3EFB"/>
    <w:rsid w:val="009C3024"/>
    <w:rsid w:val="009D5DE2"/>
    <w:rsid w:val="009D6355"/>
    <w:rsid w:val="009E1EE0"/>
    <w:rsid w:val="009E3727"/>
    <w:rsid w:val="009E7B46"/>
    <w:rsid w:val="009F348C"/>
    <w:rsid w:val="009F745D"/>
    <w:rsid w:val="00A050B3"/>
    <w:rsid w:val="00A063D5"/>
    <w:rsid w:val="00A14E1C"/>
    <w:rsid w:val="00A152B9"/>
    <w:rsid w:val="00A17C49"/>
    <w:rsid w:val="00A23776"/>
    <w:rsid w:val="00A31E23"/>
    <w:rsid w:val="00A32DD7"/>
    <w:rsid w:val="00A33950"/>
    <w:rsid w:val="00A33D2E"/>
    <w:rsid w:val="00A504D6"/>
    <w:rsid w:val="00A531EA"/>
    <w:rsid w:val="00A72AD9"/>
    <w:rsid w:val="00A97CE4"/>
    <w:rsid w:val="00AB5862"/>
    <w:rsid w:val="00AC3675"/>
    <w:rsid w:val="00AD34B3"/>
    <w:rsid w:val="00AD4118"/>
    <w:rsid w:val="00AE00B8"/>
    <w:rsid w:val="00AE6FC7"/>
    <w:rsid w:val="00AF0DCC"/>
    <w:rsid w:val="00AF3424"/>
    <w:rsid w:val="00B22A8D"/>
    <w:rsid w:val="00B34F0D"/>
    <w:rsid w:val="00B6137C"/>
    <w:rsid w:val="00B7169D"/>
    <w:rsid w:val="00B7470F"/>
    <w:rsid w:val="00B82C15"/>
    <w:rsid w:val="00B83F55"/>
    <w:rsid w:val="00B9716C"/>
    <w:rsid w:val="00BA6058"/>
    <w:rsid w:val="00BB13C0"/>
    <w:rsid w:val="00BB1567"/>
    <w:rsid w:val="00BB7549"/>
    <w:rsid w:val="00BC2220"/>
    <w:rsid w:val="00BE4B5A"/>
    <w:rsid w:val="00BF14A2"/>
    <w:rsid w:val="00BF3596"/>
    <w:rsid w:val="00C05166"/>
    <w:rsid w:val="00C13395"/>
    <w:rsid w:val="00C22A54"/>
    <w:rsid w:val="00C23746"/>
    <w:rsid w:val="00C23F9D"/>
    <w:rsid w:val="00C3037F"/>
    <w:rsid w:val="00C31867"/>
    <w:rsid w:val="00C331DE"/>
    <w:rsid w:val="00C37DBB"/>
    <w:rsid w:val="00C4717B"/>
    <w:rsid w:val="00C477FA"/>
    <w:rsid w:val="00C62882"/>
    <w:rsid w:val="00C6723E"/>
    <w:rsid w:val="00C7528F"/>
    <w:rsid w:val="00C859AB"/>
    <w:rsid w:val="00C94638"/>
    <w:rsid w:val="00CA2ABB"/>
    <w:rsid w:val="00CA6510"/>
    <w:rsid w:val="00CC71F1"/>
    <w:rsid w:val="00CE019D"/>
    <w:rsid w:val="00CE188E"/>
    <w:rsid w:val="00CE41FC"/>
    <w:rsid w:val="00CF11A0"/>
    <w:rsid w:val="00D07278"/>
    <w:rsid w:val="00D07562"/>
    <w:rsid w:val="00D107D4"/>
    <w:rsid w:val="00D11AD3"/>
    <w:rsid w:val="00D20433"/>
    <w:rsid w:val="00D360B7"/>
    <w:rsid w:val="00D371C5"/>
    <w:rsid w:val="00D52267"/>
    <w:rsid w:val="00D53F2F"/>
    <w:rsid w:val="00D548E5"/>
    <w:rsid w:val="00D54F75"/>
    <w:rsid w:val="00D55BBF"/>
    <w:rsid w:val="00D57A50"/>
    <w:rsid w:val="00D6739B"/>
    <w:rsid w:val="00D84121"/>
    <w:rsid w:val="00D879CB"/>
    <w:rsid w:val="00D9051A"/>
    <w:rsid w:val="00D94507"/>
    <w:rsid w:val="00D97FD9"/>
    <w:rsid w:val="00DA3501"/>
    <w:rsid w:val="00DA5851"/>
    <w:rsid w:val="00DB5D10"/>
    <w:rsid w:val="00DC2FBB"/>
    <w:rsid w:val="00DE037F"/>
    <w:rsid w:val="00DE2E75"/>
    <w:rsid w:val="00E06D16"/>
    <w:rsid w:val="00E219A0"/>
    <w:rsid w:val="00E47B34"/>
    <w:rsid w:val="00E54297"/>
    <w:rsid w:val="00E54606"/>
    <w:rsid w:val="00E558CC"/>
    <w:rsid w:val="00E57041"/>
    <w:rsid w:val="00E60E2F"/>
    <w:rsid w:val="00E6376D"/>
    <w:rsid w:val="00E722F5"/>
    <w:rsid w:val="00E92675"/>
    <w:rsid w:val="00EA0D25"/>
    <w:rsid w:val="00EC287D"/>
    <w:rsid w:val="00EC2BCC"/>
    <w:rsid w:val="00ED1C1A"/>
    <w:rsid w:val="00ED3F12"/>
    <w:rsid w:val="00EE159D"/>
    <w:rsid w:val="00EE3EC9"/>
    <w:rsid w:val="00EF4A77"/>
    <w:rsid w:val="00F01BEC"/>
    <w:rsid w:val="00F05753"/>
    <w:rsid w:val="00F23D36"/>
    <w:rsid w:val="00F2519E"/>
    <w:rsid w:val="00F35B3E"/>
    <w:rsid w:val="00F56588"/>
    <w:rsid w:val="00F60EC9"/>
    <w:rsid w:val="00F640F2"/>
    <w:rsid w:val="00F75938"/>
    <w:rsid w:val="00F76B06"/>
    <w:rsid w:val="00F83559"/>
    <w:rsid w:val="00F848C7"/>
    <w:rsid w:val="00F92801"/>
    <w:rsid w:val="00F9331C"/>
    <w:rsid w:val="00F933E2"/>
    <w:rsid w:val="00F95F4F"/>
    <w:rsid w:val="00FA24CA"/>
    <w:rsid w:val="00FB046A"/>
    <w:rsid w:val="00FC2B5F"/>
    <w:rsid w:val="00FD09CB"/>
    <w:rsid w:val="00FD0B76"/>
    <w:rsid w:val="00FD0C37"/>
    <w:rsid w:val="00FD3FB5"/>
    <w:rsid w:val="00FE5ADA"/>
    <w:rsid w:val="00FE723A"/>
    <w:rsid w:val="00FF0349"/>
    <w:rsid w:val="00FF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CA2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213E39"/>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0"/>
      </w:numPr>
      <w:ind w:left="567" w:hanging="567"/>
    </w:pPr>
  </w:style>
  <w:style w:type="paragraph" w:customStyle="1" w:styleId="PHEBulletpoints">
    <w:name w:val="PHE Bullet points"/>
    <w:link w:val="PHEBulletpointsChar"/>
    <w:rsid w:val="00502BE9"/>
    <w:pPr>
      <w:numPr>
        <w:numId w:val="1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PHEBulletpointsChar">
    <w:name w:val="PHE Bullet points Char"/>
    <w:link w:val="PHEBulletpoints"/>
    <w:rsid w:val="00EE159D"/>
    <w:rPr>
      <w:rFonts w:ascii="Arial" w:hAnsi="Arial"/>
      <w:sz w:val="24"/>
      <w:szCs w:val="24"/>
      <w:lang w:eastAsia="en-US" w:bidi="ar-SA"/>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bidi="ar-SA"/>
    </w:rPr>
  </w:style>
  <w:style w:type="paragraph" w:styleId="ListParagraph">
    <w:name w:val="List Paragraph"/>
    <w:basedOn w:val="Normal"/>
    <w:uiPriority w:val="34"/>
    <w:qFormat/>
    <w:rsid w:val="00D371C5"/>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371C5"/>
    <w:rPr>
      <w:sz w:val="16"/>
      <w:szCs w:val="16"/>
    </w:rPr>
  </w:style>
  <w:style w:type="paragraph" w:styleId="CommentText">
    <w:name w:val="annotation text"/>
    <w:basedOn w:val="Normal"/>
    <w:link w:val="CommentTextChar"/>
    <w:uiPriority w:val="99"/>
    <w:unhideWhenUsed/>
    <w:rsid w:val="00D371C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371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371C5"/>
    <w:pPr>
      <w:spacing w:after="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D371C5"/>
    <w:rPr>
      <w:rFonts w:ascii="Arial" w:eastAsiaTheme="minorHAnsi" w:hAnsi="Arial" w:cs="Arial"/>
      <w:b/>
      <w:bCs/>
      <w:lang w:eastAsia="en-US"/>
    </w:rPr>
  </w:style>
  <w:style w:type="table" w:styleId="TableGrid">
    <w:name w:val="Table Grid"/>
    <w:basedOn w:val="TableNormal"/>
    <w:uiPriority w:val="59"/>
    <w:rsid w:val="00D1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107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EF4A77"/>
    <w:pPr>
      <w:autoSpaceDE w:val="0"/>
      <w:autoSpaceDN w:val="0"/>
      <w:adjustRightInd w:val="0"/>
    </w:pPr>
    <w:rPr>
      <w:rFonts w:ascii="Arial" w:hAnsi="Arial" w:cs="Arial"/>
      <w:color w:val="000000"/>
      <w:sz w:val="24"/>
      <w:szCs w:val="24"/>
    </w:rPr>
  </w:style>
  <w:style w:type="table" w:styleId="LightList-Accent1">
    <w:name w:val="Light List Accent 1"/>
    <w:basedOn w:val="TableNormal"/>
    <w:uiPriority w:val="61"/>
    <w:rsid w:val="00BF14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semiHidden/>
    <w:unhideWhenUsed/>
    <w:qFormat/>
    <w:rsid w:val="00213E39"/>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D55BBF"/>
    <w:pPr>
      <w:spacing w:line="320" w:lineRule="atLeas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0"/>
      </w:numPr>
      <w:ind w:left="567" w:hanging="567"/>
    </w:pPr>
  </w:style>
  <w:style w:type="paragraph" w:customStyle="1" w:styleId="PHEBulletpoints">
    <w:name w:val="PHE Bullet points"/>
    <w:link w:val="PHEBulletpointsChar"/>
    <w:rsid w:val="00502BE9"/>
    <w:pPr>
      <w:numPr>
        <w:numId w:val="12"/>
      </w:numPr>
      <w:spacing w:line="320" w:lineRule="exact"/>
      <w:ind w:left="357" w:right="794" w:hanging="357"/>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CF11A0"/>
    <w:pPr>
      <w:spacing w:line="240" w:lineRule="exact"/>
    </w:pPr>
    <w:rPr>
      <w:rFonts w:cs="Times New Roman"/>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semiHidden/>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EE159D"/>
    <w:pPr>
      <w:tabs>
        <w:tab w:val="left" w:pos="851"/>
      </w:tabs>
      <w:ind w:left="851" w:hanging="284"/>
    </w:pPr>
  </w:style>
  <w:style w:type="character" w:customStyle="1" w:styleId="PHEBulletpointsChar">
    <w:name w:val="PHE Bullet points Char"/>
    <w:link w:val="PHEBulletpoints"/>
    <w:rsid w:val="00EE159D"/>
    <w:rPr>
      <w:rFonts w:ascii="Arial" w:hAnsi="Arial"/>
      <w:sz w:val="24"/>
      <w:szCs w:val="24"/>
      <w:lang w:eastAsia="en-US" w:bidi="ar-SA"/>
    </w:rPr>
  </w:style>
  <w:style w:type="character" w:customStyle="1" w:styleId="PHEBulletpointsfornumberedtextChar">
    <w:name w:val="PHE Bullet points for numbered text Char"/>
    <w:link w:val="PHEBulletpointsfornumberedtext"/>
    <w:rsid w:val="00EE159D"/>
    <w:rPr>
      <w:rFonts w:ascii="Arial" w:hAnsi="Arial"/>
      <w:sz w:val="24"/>
      <w:szCs w:val="24"/>
      <w:lang w:eastAsia="en-US" w:bidi="ar-SA"/>
    </w:rPr>
  </w:style>
  <w:style w:type="paragraph" w:styleId="ListParagraph">
    <w:name w:val="List Paragraph"/>
    <w:basedOn w:val="Normal"/>
    <w:uiPriority w:val="34"/>
    <w:qFormat/>
    <w:rsid w:val="00D371C5"/>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371C5"/>
    <w:rPr>
      <w:sz w:val="16"/>
      <w:szCs w:val="16"/>
    </w:rPr>
  </w:style>
  <w:style w:type="paragraph" w:styleId="CommentText">
    <w:name w:val="annotation text"/>
    <w:basedOn w:val="Normal"/>
    <w:link w:val="CommentTextChar"/>
    <w:uiPriority w:val="99"/>
    <w:unhideWhenUsed/>
    <w:rsid w:val="00D371C5"/>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371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371C5"/>
    <w:pPr>
      <w:spacing w:after="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D371C5"/>
    <w:rPr>
      <w:rFonts w:ascii="Arial" w:eastAsiaTheme="minorHAnsi" w:hAnsi="Arial" w:cs="Arial"/>
      <w:b/>
      <w:bCs/>
      <w:lang w:eastAsia="en-US"/>
    </w:rPr>
  </w:style>
  <w:style w:type="table" w:styleId="TableGrid">
    <w:name w:val="Table Grid"/>
    <w:basedOn w:val="TableNormal"/>
    <w:uiPriority w:val="59"/>
    <w:rsid w:val="00D1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107D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EF4A77"/>
    <w:pPr>
      <w:autoSpaceDE w:val="0"/>
      <w:autoSpaceDN w:val="0"/>
      <w:adjustRightInd w:val="0"/>
    </w:pPr>
    <w:rPr>
      <w:rFonts w:ascii="Arial" w:hAnsi="Arial" w:cs="Arial"/>
      <w:color w:val="000000"/>
      <w:sz w:val="24"/>
      <w:szCs w:val="24"/>
    </w:rPr>
  </w:style>
  <w:style w:type="table" w:styleId="LightList-Accent1">
    <w:name w:val="Light List Accent 1"/>
    <w:basedOn w:val="TableNormal"/>
    <w:uiPriority w:val="61"/>
    <w:rsid w:val="00BF14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healthierlives.phe.org.uk/documents/PHD%20Indicator%20rationale%20paper%2005102017.docx"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healthierlives.phe.org.uk/documents/PHD%20Methodology%20for%20combined%20indicators_May%202018.docx" TargetMode="External"/><Relationship Id="rId42"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s://testhealthierlives.phe.org.uk/documents/Criteria%20for%20service%20areas%20and%20indicators_May%202018.doc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hdashboard@phe.gov.uk" TargetMode="External"/><Relationship Id="rId20" Type="http://schemas.openxmlformats.org/officeDocument/2006/relationships/hyperlink" Target="https://healthierlives.phe.org.uk/documents/Indicator%20summary_16_Oct_2017.xlsx" TargetMode="External"/><Relationship Id="rId29" Type="http://schemas.openxmlformats.org/officeDocument/2006/relationships/fontTable" Target="fontTable.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healthierlives.phe.org.uk/documents/Indicator%20summary_16_Oct_2017.xlsx"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healthierlives.phe.org.uk/documents/PHD%20Methodology%20for%20combined%20indicators_May%202018.docx"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healthierlives.phe.org.uk/documents/PHD%20Indicator%20rationale%20paper%2005102017.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healthierlives.phe.org.uk/documents/PHD%20Methodology%20for%20combined%20indicators_May%202018.docx"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as.coyle\Downloads\PHE-Plain-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
        <AccountId xsi:nil="true"/>
        <AccountType/>
      </UserInfo>
    </PublishingContac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547DEF730D74EA5543201242B40D3" ma:contentTypeVersion="8" ma:contentTypeDescription="Create a new document." ma:contentTypeScope="" ma:versionID="52423a80864e31395eb56070ce0039dc">
  <xsd:schema xmlns:xsd="http://www.w3.org/2001/XMLSchema" xmlns:xs="http://www.w3.org/2001/XMLSchema" xmlns:p="http://schemas.microsoft.com/office/2006/metadata/properties" xmlns:ns1="http://schemas.microsoft.com/sharepoint/v3" targetNamespace="http://schemas.microsoft.com/office/2006/metadata/properties" ma:root="true" ma:fieldsID="5248a340790c531f5f28813cd99774a1"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ingContact" ma:index="12" nillable="true" ma:displayName="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57434-6CCB-4617-894C-91C9319C49D6}">
  <ds:schemaRefs>
    <ds:schemaRef ds:uri="http://schemas.openxmlformats.org/package/2006/metadata/core-propertie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7E30BF0-77EC-44D4-B2E4-A33C2D601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1F199-4C2C-4810-B979-BBEED12C8FD0}">
  <ds:schemaRefs>
    <ds:schemaRef ds:uri="http://schemas.microsoft.com/sharepoint/v3/contenttype/forms"/>
  </ds:schemaRefs>
</ds:datastoreItem>
</file>

<file path=customXml/itemProps4.xml><?xml version="1.0" encoding="utf-8"?>
<ds:datastoreItem xmlns:ds="http://schemas.openxmlformats.org/officeDocument/2006/customXml" ds:itemID="{09D1BF9E-0D43-4F08-B56F-D5FBFB26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PHE-Plain-document-template.dotx</Template>
  <TotalTime>10</TotalTime>
  <Pages>4</Pages>
  <Words>1025</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PHE document</vt:lpstr>
    </vt:vector>
  </TitlesOfParts>
  <Company/>
  <LinksUpToDate>false</LinksUpToDate>
  <CharactersWithSpaces>7632</CharactersWithSpaces>
  <SharedDoc>false</SharedDoc>
  <HLinks>
    <vt:vector size="66" baseType="variant">
      <vt:variant>
        <vt:i4>1900552</vt:i4>
      </vt:variant>
      <vt:variant>
        <vt:i4>45</vt:i4>
      </vt:variant>
      <vt:variant>
        <vt:i4>0</vt:i4>
      </vt:variant>
      <vt:variant>
        <vt:i4>5</vt:i4>
      </vt:variant>
      <vt:variant>
        <vt:lpwstr>http://phenet.phe.gov.uk/Policies-and-Procedures/Pages/Editorial-house-style.aspx</vt:lpwstr>
      </vt:variant>
      <vt:variant>
        <vt:lpwstr/>
      </vt:variant>
      <vt:variant>
        <vt:i4>1245232</vt:i4>
      </vt:variant>
      <vt:variant>
        <vt:i4>38</vt:i4>
      </vt:variant>
      <vt:variant>
        <vt:i4>0</vt:i4>
      </vt:variant>
      <vt:variant>
        <vt:i4>5</vt:i4>
      </vt:variant>
      <vt:variant>
        <vt:lpwstr/>
      </vt:variant>
      <vt:variant>
        <vt:lpwstr>_Toc351547630</vt:lpwstr>
      </vt:variant>
      <vt:variant>
        <vt:i4>1179696</vt:i4>
      </vt:variant>
      <vt:variant>
        <vt:i4>32</vt:i4>
      </vt:variant>
      <vt:variant>
        <vt:i4>0</vt:i4>
      </vt:variant>
      <vt:variant>
        <vt:i4>5</vt:i4>
      </vt:variant>
      <vt:variant>
        <vt:lpwstr/>
      </vt:variant>
      <vt:variant>
        <vt:lpwstr>_Toc351547629</vt:lpwstr>
      </vt:variant>
      <vt:variant>
        <vt:i4>1179696</vt:i4>
      </vt:variant>
      <vt:variant>
        <vt:i4>26</vt:i4>
      </vt:variant>
      <vt:variant>
        <vt:i4>0</vt:i4>
      </vt:variant>
      <vt:variant>
        <vt:i4>5</vt:i4>
      </vt:variant>
      <vt:variant>
        <vt:lpwstr/>
      </vt:variant>
      <vt:variant>
        <vt:lpwstr>_Toc351547628</vt:lpwstr>
      </vt:variant>
      <vt:variant>
        <vt:i4>1179696</vt:i4>
      </vt:variant>
      <vt:variant>
        <vt:i4>20</vt:i4>
      </vt:variant>
      <vt:variant>
        <vt:i4>0</vt:i4>
      </vt:variant>
      <vt:variant>
        <vt:i4>5</vt:i4>
      </vt:variant>
      <vt:variant>
        <vt:lpwstr/>
      </vt:variant>
      <vt:variant>
        <vt:lpwstr>_Toc351547626</vt:lpwstr>
      </vt:variant>
      <vt:variant>
        <vt:i4>3670022</vt:i4>
      </vt:variant>
      <vt:variant>
        <vt:i4>12</vt:i4>
      </vt:variant>
      <vt:variant>
        <vt:i4>0</vt:i4>
      </vt:variant>
      <vt:variant>
        <vt:i4>5</vt:i4>
      </vt:variant>
      <vt:variant>
        <vt:lpwstr>mailto:psi@nationalarchives.gsi.gov.uk</vt:lpwstr>
      </vt:variant>
      <vt:variant>
        <vt:lpwstr/>
      </vt:variant>
      <vt:variant>
        <vt:i4>3932223</vt:i4>
      </vt:variant>
      <vt:variant>
        <vt:i4>9</vt:i4>
      </vt:variant>
      <vt:variant>
        <vt:i4>0</vt:i4>
      </vt:variant>
      <vt:variant>
        <vt:i4>5</vt:i4>
      </vt:variant>
      <vt:variant>
        <vt:lpwstr>https://www.nationalarchives.gov.uk/doc/open-government-licence/version/3/</vt:lpwstr>
      </vt:variant>
      <vt:variant>
        <vt:lpwstr/>
      </vt:variant>
      <vt:variant>
        <vt:i4>3801147</vt:i4>
      </vt:variant>
      <vt:variant>
        <vt:i4>6</vt:i4>
      </vt:variant>
      <vt:variant>
        <vt:i4>0</vt:i4>
      </vt:variant>
      <vt:variant>
        <vt:i4>5</vt:i4>
      </vt:variant>
      <vt:variant>
        <vt:lpwstr>http://www.facebook.com/PublicHealthEngland</vt:lpwstr>
      </vt:variant>
      <vt:variant>
        <vt:lpwstr/>
      </vt:variant>
      <vt:variant>
        <vt:i4>4522037</vt:i4>
      </vt:variant>
      <vt:variant>
        <vt:i4>3</vt:i4>
      </vt:variant>
      <vt:variant>
        <vt:i4>0</vt:i4>
      </vt:variant>
      <vt:variant>
        <vt:i4>5</vt:i4>
      </vt:variant>
      <vt:variant>
        <vt:lpwstr>https://twitter.com/PHE_uk</vt:lpwstr>
      </vt:variant>
      <vt:variant>
        <vt:lpwstr/>
      </vt:variant>
      <vt:variant>
        <vt:i4>524298</vt:i4>
      </vt:variant>
      <vt:variant>
        <vt:i4>0</vt:i4>
      </vt:variant>
      <vt:variant>
        <vt:i4>0</vt:i4>
      </vt:variant>
      <vt:variant>
        <vt:i4>5</vt:i4>
      </vt:variant>
      <vt:variant>
        <vt:lpwstr>http://www.gov.uk/phe</vt:lpwstr>
      </vt:variant>
      <vt:variant>
        <vt:lpwstr/>
      </vt:variant>
      <vt:variant>
        <vt:i4>7929966</vt:i4>
      </vt:variant>
      <vt:variant>
        <vt:i4>-1</vt:i4>
      </vt:variant>
      <vt:variant>
        <vt:i4>1027</vt:i4>
      </vt:variant>
      <vt:variant>
        <vt:i4>4</vt:i4>
      </vt:variant>
      <vt:variant>
        <vt:lpwstr>https://www.gov.uk/government/collections/sustainability-and-public-health-a-guide-to-good-practice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 document</dc:title>
  <dc:creator>Nicholas Coyle</dc:creator>
  <cp:lastModifiedBy>Natasha Roberts</cp:lastModifiedBy>
  <cp:revision>3</cp:revision>
  <cp:lastPrinted>2013-11-05T11:21:00Z</cp:lastPrinted>
  <dcterms:created xsi:type="dcterms:W3CDTF">2018-05-03T14:36:00Z</dcterms:created>
  <dcterms:modified xsi:type="dcterms:W3CDTF">2018-05-03T14:46:00Z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0x010100855547DEF730D74EA5543201242B40D3</vt:lpwstr>
  </property>
</Properties>
</file>